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4A5D" w14:textId="177955FB" w:rsidR="00116AF2" w:rsidRPr="00A1763C" w:rsidRDefault="00116AF2" w:rsidP="00A1763C">
      <w:pPr>
        <w:spacing w:after="0" w:line="288" w:lineRule="auto"/>
        <w:jc w:val="center"/>
        <w:rPr>
          <w:rFonts w:ascii="Times New Roman" w:hAnsi="Times New Roman" w:cs="Times New Roman"/>
        </w:rPr>
      </w:pPr>
      <w:r w:rsidRPr="00A1763C">
        <w:rPr>
          <w:rFonts w:ascii="Times New Roman" w:hAnsi="Times New Roman" w:cs="Times New Roman"/>
          <w:b/>
          <w:bCs/>
        </w:rPr>
        <w:t>КНИТУ Казанский национальный исследовательский</w:t>
      </w:r>
      <w:r w:rsidR="00A1763C">
        <w:rPr>
          <w:rFonts w:ascii="Times New Roman" w:hAnsi="Times New Roman" w:cs="Times New Roman"/>
          <w:b/>
          <w:bCs/>
        </w:rPr>
        <w:br/>
      </w:r>
      <w:r w:rsidRPr="00A1763C">
        <w:rPr>
          <w:rFonts w:ascii="Times New Roman" w:hAnsi="Times New Roman" w:cs="Times New Roman"/>
          <w:b/>
          <w:bCs/>
        </w:rPr>
        <w:t xml:space="preserve"> технологический университет</w:t>
      </w:r>
      <w:r w:rsidRPr="00A1763C">
        <w:rPr>
          <w:rFonts w:ascii="Times New Roman" w:hAnsi="Times New Roman" w:cs="Times New Roman"/>
        </w:rPr>
        <w:t xml:space="preserve"> </w:t>
      </w:r>
    </w:p>
    <w:p w14:paraId="352F7868" w14:textId="1ECABE9D" w:rsidR="00116AF2" w:rsidRPr="00A1763C" w:rsidRDefault="00116AF2" w:rsidP="00A1763C">
      <w:pPr>
        <w:spacing w:after="0" w:line="288" w:lineRule="auto"/>
        <w:jc w:val="center"/>
        <w:rPr>
          <w:rFonts w:ascii="Times New Roman" w:hAnsi="Times New Roman" w:cs="Times New Roman"/>
          <w:b/>
          <w:bCs/>
        </w:rPr>
      </w:pPr>
      <w:r w:rsidRPr="00A1763C">
        <w:rPr>
          <w:rFonts w:ascii="Times New Roman" w:hAnsi="Times New Roman" w:cs="Times New Roman"/>
          <w:b/>
          <w:bCs/>
        </w:rPr>
        <w:t>Кафедра химическая технология переработки нефти и газа</w:t>
      </w:r>
    </w:p>
    <w:p w14:paraId="792AF51C" w14:textId="2B7F515D" w:rsidR="00116AF2" w:rsidRPr="00A1763C" w:rsidRDefault="00116AF2" w:rsidP="00A1763C">
      <w:pPr>
        <w:spacing w:after="0" w:line="288" w:lineRule="auto"/>
        <w:jc w:val="center"/>
        <w:rPr>
          <w:rFonts w:ascii="Times New Roman" w:hAnsi="Times New Roman" w:cs="Times New Roman"/>
          <w:b/>
          <w:bCs/>
          <w:lang w:val="en-US"/>
        </w:rPr>
      </w:pPr>
      <w:r w:rsidRPr="00A1763C">
        <w:rPr>
          <w:rFonts w:ascii="Times New Roman" w:hAnsi="Times New Roman" w:cs="Times New Roman"/>
          <w:b/>
          <w:bCs/>
          <w:lang w:val="en-US"/>
        </w:rPr>
        <w:t>KNRTU Kazan National Research Technological University</w:t>
      </w:r>
    </w:p>
    <w:p w14:paraId="5B89B1FA" w14:textId="3858703D" w:rsidR="00116AF2" w:rsidRPr="00A1763C" w:rsidRDefault="00116AF2" w:rsidP="00A1763C">
      <w:pPr>
        <w:spacing w:after="0" w:line="288" w:lineRule="auto"/>
        <w:jc w:val="center"/>
        <w:rPr>
          <w:rFonts w:ascii="Times New Roman" w:hAnsi="Times New Roman" w:cs="Times New Roman"/>
          <w:b/>
          <w:bCs/>
          <w:lang w:val="en-US"/>
        </w:rPr>
      </w:pPr>
      <w:r w:rsidRPr="00A1763C">
        <w:rPr>
          <w:rFonts w:ascii="Times New Roman" w:hAnsi="Times New Roman" w:cs="Times New Roman"/>
          <w:b/>
          <w:bCs/>
          <w:lang w:val="en-US"/>
        </w:rPr>
        <w:t>Department of Chemical Technology of Oil and Gas Refining</w:t>
      </w:r>
    </w:p>
    <w:p w14:paraId="29FE8BAD" w14:textId="77777777" w:rsidR="00116AF2" w:rsidRPr="00A1763C" w:rsidRDefault="00116AF2" w:rsidP="00A1763C">
      <w:pPr>
        <w:spacing w:after="0" w:line="288" w:lineRule="auto"/>
        <w:jc w:val="center"/>
        <w:rPr>
          <w:rFonts w:ascii="Times New Roman" w:hAnsi="Times New Roman" w:cs="Times New Roman"/>
          <w:b/>
          <w:bCs/>
          <w:lang w:val="en-US"/>
        </w:rPr>
      </w:pPr>
    </w:p>
    <w:p w14:paraId="0CD94E41" w14:textId="71905D34" w:rsidR="00116AF2" w:rsidRPr="00A1763C" w:rsidRDefault="00116AF2" w:rsidP="00A1763C">
      <w:pPr>
        <w:spacing w:after="0" w:line="288" w:lineRule="auto"/>
        <w:jc w:val="center"/>
        <w:rPr>
          <w:rFonts w:ascii="Times New Roman" w:hAnsi="Times New Roman" w:cs="Times New Roman"/>
          <w:b/>
          <w:bCs/>
        </w:rPr>
      </w:pPr>
      <w:r w:rsidRPr="00A1763C">
        <w:rPr>
          <w:rFonts w:ascii="Times New Roman" w:hAnsi="Times New Roman" w:cs="Times New Roman"/>
          <w:b/>
          <w:bCs/>
        </w:rPr>
        <w:t>ESG-трансформация бизнеса в области нефтегазохимических технологий: интеграция принципов устойчивого развития и повышения операционной эффективности</w:t>
      </w:r>
    </w:p>
    <w:p w14:paraId="016D69C9" w14:textId="13753FD5" w:rsidR="00116AF2" w:rsidRPr="00A1763C" w:rsidRDefault="00116AF2" w:rsidP="00A1763C">
      <w:pPr>
        <w:spacing w:after="0" w:line="288" w:lineRule="auto"/>
        <w:jc w:val="center"/>
        <w:rPr>
          <w:rFonts w:ascii="Times New Roman" w:hAnsi="Times New Roman" w:cs="Times New Roman"/>
          <w:b/>
          <w:bCs/>
          <w:lang w:val="en-US"/>
        </w:rPr>
      </w:pPr>
      <w:r w:rsidRPr="00A1763C">
        <w:rPr>
          <w:rFonts w:ascii="Times New Roman" w:hAnsi="Times New Roman" w:cs="Times New Roman"/>
          <w:b/>
          <w:bCs/>
          <w:lang w:val="en-US"/>
        </w:rPr>
        <w:t>ESG transformation of business in the field of petrochemical technologies: integration of sustainable development principles and operational efficiency improvement</w:t>
      </w:r>
    </w:p>
    <w:p w14:paraId="141E8F6B" w14:textId="77777777" w:rsidR="00171A73" w:rsidRPr="00A1763C" w:rsidRDefault="00171A73" w:rsidP="00A1763C">
      <w:pPr>
        <w:spacing w:after="0" w:line="288" w:lineRule="auto"/>
        <w:jc w:val="center"/>
        <w:rPr>
          <w:rFonts w:ascii="Times New Roman" w:hAnsi="Times New Roman" w:cs="Times New Roman"/>
          <w:b/>
          <w:bCs/>
          <w:lang w:val="en-US"/>
        </w:rPr>
      </w:pPr>
    </w:p>
    <w:p w14:paraId="3DDC58AB" w14:textId="3C750D22" w:rsidR="00C4174A" w:rsidRPr="00A1763C" w:rsidRDefault="00116AF2" w:rsidP="00A1763C">
      <w:pPr>
        <w:spacing w:after="0" w:line="288" w:lineRule="auto"/>
        <w:jc w:val="center"/>
        <w:rPr>
          <w:rFonts w:ascii="Times New Roman" w:hAnsi="Times New Roman" w:cs="Times New Roman"/>
          <w:vertAlign w:val="superscript"/>
          <w:lang w:val="en-US"/>
        </w:rPr>
      </w:pPr>
      <w:proofErr w:type="spellStart"/>
      <w:r w:rsidRPr="00A1763C">
        <w:rPr>
          <w:rFonts w:ascii="Times New Roman" w:hAnsi="Times New Roman" w:cs="Times New Roman"/>
        </w:rPr>
        <w:t>Авхадиева</w:t>
      </w:r>
      <w:proofErr w:type="spellEnd"/>
      <w:r w:rsidRPr="00A1763C">
        <w:rPr>
          <w:rFonts w:ascii="Times New Roman" w:hAnsi="Times New Roman" w:cs="Times New Roman"/>
          <w:lang w:val="en-US"/>
        </w:rPr>
        <w:t xml:space="preserve"> </w:t>
      </w:r>
      <w:r w:rsidRPr="00A1763C">
        <w:rPr>
          <w:rFonts w:ascii="Times New Roman" w:hAnsi="Times New Roman" w:cs="Times New Roman"/>
        </w:rPr>
        <w:t>Элина</w:t>
      </w:r>
      <w:r w:rsidRPr="00A1763C">
        <w:rPr>
          <w:rFonts w:ascii="Times New Roman" w:hAnsi="Times New Roman" w:cs="Times New Roman"/>
          <w:lang w:val="en-US"/>
        </w:rPr>
        <w:t xml:space="preserve"> </w:t>
      </w:r>
      <w:proofErr w:type="spellStart"/>
      <w:r w:rsidRPr="00A1763C">
        <w:rPr>
          <w:rFonts w:ascii="Times New Roman" w:hAnsi="Times New Roman" w:cs="Times New Roman"/>
        </w:rPr>
        <w:t>Марселевна</w:t>
      </w:r>
      <w:proofErr w:type="spellEnd"/>
      <w:r w:rsidRPr="00A1763C">
        <w:rPr>
          <w:rFonts w:ascii="Times New Roman" w:hAnsi="Times New Roman" w:cs="Times New Roman"/>
          <w:lang w:val="en-US"/>
        </w:rPr>
        <w:t xml:space="preserve">, </w:t>
      </w:r>
      <w:proofErr w:type="spellStart"/>
      <w:r w:rsidR="00C4174A" w:rsidRPr="00A1763C">
        <w:rPr>
          <w:rFonts w:ascii="Times New Roman" w:hAnsi="Times New Roman" w:cs="Times New Roman"/>
          <w:lang w:val="en-US"/>
        </w:rPr>
        <w:t>Avkhadieva</w:t>
      </w:r>
      <w:proofErr w:type="spellEnd"/>
      <w:r w:rsidR="00C4174A" w:rsidRPr="00A1763C">
        <w:rPr>
          <w:rFonts w:ascii="Times New Roman" w:hAnsi="Times New Roman" w:cs="Times New Roman"/>
          <w:lang w:val="en-US"/>
        </w:rPr>
        <w:t xml:space="preserve"> Elina Marselevna</w:t>
      </w:r>
      <w:r w:rsidR="00C4174A" w:rsidRPr="00A1763C">
        <w:rPr>
          <w:rFonts w:ascii="Times New Roman" w:hAnsi="Times New Roman" w:cs="Times New Roman"/>
          <w:vertAlign w:val="superscript"/>
          <w:lang w:val="en-US"/>
        </w:rPr>
        <w:t>1</w:t>
      </w:r>
    </w:p>
    <w:p w14:paraId="620FB922" w14:textId="7185B647" w:rsidR="00C4174A" w:rsidRPr="00A1763C" w:rsidRDefault="00116AF2" w:rsidP="00A1763C">
      <w:pPr>
        <w:spacing w:after="0" w:line="288" w:lineRule="auto"/>
        <w:jc w:val="center"/>
        <w:rPr>
          <w:rFonts w:ascii="Times New Roman" w:hAnsi="Times New Roman" w:cs="Times New Roman"/>
          <w:vertAlign w:val="superscript"/>
        </w:rPr>
      </w:pPr>
      <w:proofErr w:type="spellStart"/>
      <w:r w:rsidRPr="00A1763C">
        <w:rPr>
          <w:rFonts w:ascii="Times New Roman" w:hAnsi="Times New Roman" w:cs="Times New Roman"/>
        </w:rPr>
        <w:t>Шанина</w:t>
      </w:r>
      <w:proofErr w:type="spellEnd"/>
      <w:r w:rsidRPr="00A1763C">
        <w:rPr>
          <w:rFonts w:ascii="Times New Roman" w:hAnsi="Times New Roman" w:cs="Times New Roman"/>
        </w:rPr>
        <w:t xml:space="preserve"> Полина Александровна, </w:t>
      </w:r>
      <w:proofErr w:type="spellStart"/>
      <w:r w:rsidR="00C4174A" w:rsidRPr="00A1763C">
        <w:rPr>
          <w:rFonts w:ascii="Times New Roman" w:hAnsi="Times New Roman" w:cs="Times New Roman"/>
        </w:rPr>
        <w:t>Shanina</w:t>
      </w:r>
      <w:proofErr w:type="spellEnd"/>
      <w:r w:rsidR="00C4174A" w:rsidRPr="00A1763C">
        <w:rPr>
          <w:rFonts w:ascii="Times New Roman" w:hAnsi="Times New Roman" w:cs="Times New Roman"/>
        </w:rPr>
        <w:t xml:space="preserve"> </w:t>
      </w:r>
      <w:proofErr w:type="spellStart"/>
      <w:r w:rsidR="00C4174A" w:rsidRPr="00A1763C">
        <w:rPr>
          <w:rFonts w:ascii="Times New Roman" w:hAnsi="Times New Roman" w:cs="Times New Roman"/>
        </w:rPr>
        <w:t>Polina</w:t>
      </w:r>
      <w:proofErr w:type="spellEnd"/>
      <w:r w:rsidR="00C4174A" w:rsidRPr="00A1763C">
        <w:rPr>
          <w:rFonts w:ascii="Times New Roman" w:hAnsi="Times New Roman" w:cs="Times New Roman"/>
        </w:rPr>
        <w:t xml:space="preserve"> Aleksandrovna</w:t>
      </w:r>
      <w:r w:rsidR="00C4174A" w:rsidRPr="00A1763C">
        <w:rPr>
          <w:rFonts w:ascii="Times New Roman" w:hAnsi="Times New Roman" w:cs="Times New Roman"/>
          <w:vertAlign w:val="superscript"/>
        </w:rPr>
        <w:t>2</w:t>
      </w:r>
    </w:p>
    <w:p w14:paraId="615B3815" w14:textId="31AEB555" w:rsidR="00C4174A" w:rsidRPr="00A1763C" w:rsidRDefault="00116AF2"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Сигал Анатолий Евгеньевич</w:t>
      </w:r>
      <w:r w:rsidR="00C4174A" w:rsidRPr="00A1763C">
        <w:rPr>
          <w:rFonts w:ascii="Times New Roman" w:hAnsi="Times New Roman" w:cs="Times New Roman"/>
        </w:rPr>
        <w:t xml:space="preserve">, </w:t>
      </w:r>
      <w:proofErr w:type="spellStart"/>
      <w:r w:rsidR="00C4174A" w:rsidRPr="00A1763C">
        <w:rPr>
          <w:rFonts w:ascii="Times New Roman" w:hAnsi="Times New Roman" w:cs="Times New Roman"/>
        </w:rPr>
        <w:t>Sigal</w:t>
      </w:r>
      <w:proofErr w:type="spellEnd"/>
      <w:r w:rsidR="00C4174A" w:rsidRPr="00A1763C">
        <w:rPr>
          <w:rFonts w:ascii="Times New Roman" w:hAnsi="Times New Roman" w:cs="Times New Roman"/>
        </w:rPr>
        <w:t xml:space="preserve"> </w:t>
      </w:r>
      <w:proofErr w:type="spellStart"/>
      <w:r w:rsidR="00C4174A" w:rsidRPr="00A1763C">
        <w:rPr>
          <w:rFonts w:ascii="Times New Roman" w:hAnsi="Times New Roman" w:cs="Times New Roman"/>
        </w:rPr>
        <w:t>Anatoliy</w:t>
      </w:r>
      <w:proofErr w:type="spellEnd"/>
      <w:r w:rsidR="00C4174A" w:rsidRPr="00A1763C">
        <w:rPr>
          <w:rFonts w:ascii="Times New Roman" w:hAnsi="Times New Roman" w:cs="Times New Roman"/>
        </w:rPr>
        <w:t xml:space="preserve"> Evgenievich</w:t>
      </w:r>
      <w:r w:rsidR="00C4174A" w:rsidRPr="00A1763C">
        <w:rPr>
          <w:rFonts w:ascii="Times New Roman" w:hAnsi="Times New Roman" w:cs="Times New Roman"/>
          <w:vertAlign w:val="superscript"/>
        </w:rPr>
        <w:t>3</w:t>
      </w:r>
    </w:p>
    <w:p w14:paraId="5D07AC89" w14:textId="3DF96EE1" w:rsidR="00171A73" w:rsidRPr="00A1763C" w:rsidRDefault="00C4174A"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 xml:space="preserve">Ибрагимова Дина </w:t>
      </w:r>
      <w:proofErr w:type="spellStart"/>
      <w:r w:rsidRPr="00A1763C">
        <w:rPr>
          <w:rFonts w:ascii="Times New Roman" w:hAnsi="Times New Roman" w:cs="Times New Roman"/>
        </w:rPr>
        <w:t>Абдулрафиковна</w:t>
      </w:r>
      <w:proofErr w:type="spellEnd"/>
      <w:r w:rsidRPr="00A1763C">
        <w:rPr>
          <w:rFonts w:ascii="Times New Roman" w:hAnsi="Times New Roman" w:cs="Times New Roman"/>
        </w:rPr>
        <w:t xml:space="preserve">, </w:t>
      </w:r>
      <w:r w:rsidRPr="00A1763C">
        <w:rPr>
          <w:rFonts w:ascii="Times New Roman" w:hAnsi="Times New Roman" w:cs="Times New Roman"/>
          <w:lang w:val="en-US"/>
        </w:rPr>
        <w:t>Ibragimova</w:t>
      </w:r>
      <w:r w:rsidRPr="00A1763C">
        <w:rPr>
          <w:rFonts w:ascii="Times New Roman" w:hAnsi="Times New Roman" w:cs="Times New Roman"/>
        </w:rPr>
        <w:t xml:space="preserve"> </w:t>
      </w:r>
      <w:r w:rsidRPr="00A1763C">
        <w:rPr>
          <w:rFonts w:ascii="Times New Roman" w:hAnsi="Times New Roman" w:cs="Times New Roman"/>
          <w:lang w:val="en-US"/>
        </w:rPr>
        <w:t>Dina</w:t>
      </w:r>
      <w:r w:rsidRPr="00A1763C">
        <w:rPr>
          <w:rFonts w:ascii="Times New Roman" w:hAnsi="Times New Roman" w:cs="Times New Roman"/>
        </w:rPr>
        <w:t xml:space="preserve"> </w:t>
      </w:r>
      <w:proofErr w:type="spellStart"/>
      <w:r w:rsidRPr="00A1763C">
        <w:rPr>
          <w:rFonts w:ascii="Times New Roman" w:hAnsi="Times New Roman" w:cs="Times New Roman"/>
          <w:lang w:val="en-US"/>
        </w:rPr>
        <w:t>Abdulrafikovna</w:t>
      </w:r>
      <w:proofErr w:type="spellEnd"/>
      <w:r w:rsidRPr="00A1763C">
        <w:rPr>
          <w:rFonts w:ascii="Times New Roman" w:hAnsi="Times New Roman" w:cs="Times New Roman"/>
          <w:vertAlign w:val="superscript"/>
        </w:rPr>
        <w:t>4</w:t>
      </w:r>
    </w:p>
    <w:p w14:paraId="4408DCCD" w14:textId="34576E8B" w:rsidR="00171A73" w:rsidRPr="00A1763C" w:rsidRDefault="00171A73"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студент группы 431-22</w:t>
      </w:r>
      <w:r w:rsidRPr="00A1763C">
        <w:rPr>
          <w:rFonts w:ascii="Times New Roman" w:hAnsi="Times New Roman" w:cs="Times New Roman"/>
          <w:vertAlign w:val="superscript"/>
        </w:rPr>
        <w:t>1</w:t>
      </w:r>
    </w:p>
    <w:p w14:paraId="5F794F3F" w14:textId="1938A23D" w:rsidR="00171A73" w:rsidRPr="00A1763C" w:rsidRDefault="00171A73"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студент группы 431-22</w:t>
      </w:r>
      <w:r w:rsidRPr="00A1763C">
        <w:rPr>
          <w:rFonts w:ascii="Times New Roman" w:hAnsi="Times New Roman" w:cs="Times New Roman"/>
          <w:vertAlign w:val="superscript"/>
        </w:rPr>
        <w:t>2</w:t>
      </w:r>
    </w:p>
    <w:p w14:paraId="5F90F0AA" w14:textId="2CB4CC89" w:rsidR="00171A73" w:rsidRPr="00A1763C" w:rsidRDefault="00171A73"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студент группы 431-24</w:t>
      </w:r>
      <w:r w:rsidRPr="00A1763C">
        <w:rPr>
          <w:rFonts w:ascii="Times New Roman" w:hAnsi="Times New Roman" w:cs="Times New Roman"/>
          <w:vertAlign w:val="superscript"/>
        </w:rPr>
        <w:t>3</w:t>
      </w:r>
    </w:p>
    <w:p w14:paraId="38599409" w14:textId="2F177D76" w:rsidR="00171A73" w:rsidRPr="00A1763C" w:rsidRDefault="00171A73" w:rsidP="00A1763C">
      <w:pPr>
        <w:spacing w:after="0" w:line="288" w:lineRule="auto"/>
        <w:jc w:val="center"/>
        <w:rPr>
          <w:rFonts w:ascii="Times New Roman" w:hAnsi="Times New Roman" w:cs="Times New Roman"/>
          <w:vertAlign w:val="superscript"/>
        </w:rPr>
      </w:pPr>
      <w:r w:rsidRPr="00A1763C">
        <w:rPr>
          <w:rFonts w:ascii="Times New Roman" w:hAnsi="Times New Roman" w:cs="Times New Roman"/>
        </w:rPr>
        <w:t>кандидат химических наук, доцент кафедры химической технологии переработки нефти и газа</w:t>
      </w:r>
      <w:r w:rsidRPr="00A1763C">
        <w:rPr>
          <w:rFonts w:ascii="Times New Roman" w:hAnsi="Times New Roman" w:cs="Times New Roman"/>
          <w:vertAlign w:val="superscript"/>
        </w:rPr>
        <w:t>4</w:t>
      </w:r>
    </w:p>
    <w:p w14:paraId="1E2C9F40" w14:textId="6DC1F081" w:rsidR="00116AF2" w:rsidRPr="00A1763C" w:rsidRDefault="00116AF2" w:rsidP="00A1763C">
      <w:pPr>
        <w:spacing w:after="0" w:line="288" w:lineRule="auto"/>
        <w:jc w:val="center"/>
        <w:rPr>
          <w:rFonts w:ascii="Times New Roman" w:hAnsi="Times New Roman" w:cs="Times New Roman"/>
        </w:rPr>
      </w:pPr>
      <w:r w:rsidRPr="00A1763C">
        <w:rPr>
          <w:rFonts w:ascii="Times New Roman" w:hAnsi="Times New Roman" w:cs="Times New Roman"/>
        </w:rPr>
        <w:t>Казанский национальный исследовательский технологический университет</w:t>
      </w:r>
      <w:r w:rsidR="00171A73" w:rsidRPr="00A1763C">
        <w:rPr>
          <w:rFonts w:ascii="Times New Roman" w:hAnsi="Times New Roman" w:cs="Times New Roman"/>
        </w:rPr>
        <w:t xml:space="preserve">; </w:t>
      </w:r>
      <w:r w:rsidRPr="00A1763C">
        <w:rPr>
          <w:rFonts w:ascii="Times New Roman" w:hAnsi="Times New Roman" w:cs="Times New Roman"/>
        </w:rPr>
        <w:t>Институт нефти, химии и нанотехнологий</w:t>
      </w:r>
      <w:r w:rsidR="00171A73" w:rsidRPr="00A1763C">
        <w:rPr>
          <w:rFonts w:ascii="Times New Roman" w:hAnsi="Times New Roman" w:cs="Times New Roman"/>
        </w:rPr>
        <w:t>;</w:t>
      </w:r>
      <w:r w:rsidRPr="00A1763C">
        <w:rPr>
          <w:rFonts w:ascii="Times New Roman" w:hAnsi="Times New Roman" w:cs="Times New Roman"/>
        </w:rPr>
        <w:t xml:space="preserve"> Казань, Россия</w:t>
      </w:r>
    </w:p>
    <w:p w14:paraId="5B15DEBD" w14:textId="4A956F66" w:rsidR="00841B26" w:rsidRPr="00A1763C" w:rsidRDefault="00116AF2" w:rsidP="00A1763C">
      <w:pPr>
        <w:spacing w:after="0" w:line="288" w:lineRule="auto"/>
        <w:jc w:val="center"/>
        <w:rPr>
          <w:rFonts w:ascii="Times New Roman" w:hAnsi="Times New Roman" w:cs="Times New Roman"/>
          <w:lang w:val="en-US"/>
        </w:rPr>
      </w:pPr>
      <w:r w:rsidRPr="00A1763C">
        <w:rPr>
          <w:rFonts w:ascii="Times New Roman" w:hAnsi="Times New Roman" w:cs="Times New Roman"/>
        </w:rPr>
        <w:t>УДК 338.24:316.4:662.7 + 338.45:665.6:658.15</w:t>
      </w:r>
      <w:r w:rsidR="004919E3" w:rsidRPr="00A1763C">
        <w:rPr>
          <w:rFonts w:ascii="Times New Roman" w:hAnsi="Times New Roman" w:cs="Times New Roman"/>
        </w:rPr>
        <w:t>. Шифр научной специальности</w:t>
      </w:r>
      <w:r w:rsidR="00A1763C">
        <w:rPr>
          <w:rFonts w:ascii="Times New Roman" w:hAnsi="Times New Roman" w:cs="Times New Roman"/>
        </w:rPr>
        <w:br/>
      </w:r>
      <w:r w:rsidR="004919E3" w:rsidRPr="00A1763C">
        <w:rPr>
          <w:rFonts w:ascii="Times New Roman" w:hAnsi="Times New Roman" w:cs="Times New Roman"/>
        </w:rPr>
        <w:t xml:space="preserve"> ВАК: 1.4.12. </w:t>
      </w:r>
      <w:r w:rsidR="004919E3" w:rsidRPr="00A1763C">
        <w:rPr>
          <w:rFonts w:ascii="Times New Roman" w:hAnsi="Times New Roman" w:cs="Times New Roman"/>
          <w:lang w:val="en-US"/>
        </w:rPr>
        <w:t>«</w:t>
      </w:r>
      <w:proofErr w:type="spellStart"/>
      <w:r w:rsidR="004919E3" w:rsidRPr="00A1763C">
        <w:rPr>
          <w:rFonts w:ascii="Times New Roman" w:hAnsi="Times New Roman" w:cs="Times New Roman"/>
          <w:lang w:val="en-US"/>
        </w:rPr>
        <w:t>Нефтехимия</w:t>
      </w:r>
      <w:proofErr w:type="spellEnd"/>
      <w:r w:rsidR="004919E3" w:rsidRPr="00A1763C">
        <w:rPr>
          <w:rFonts w:ascii="Times New Roman" w:hAnsi="Times New Roman" w:cs="Times New Roman"/>
          <w:lang w:val="en-US"/>
        </w:rPr>
        <w:t>»</w:t>
      </w:r>
    </w:p>
    <w:p w14:paraId="34197505" w14:textId="6852DF9A" w:rsidR="00171A73" w:rsidRDefault="00171A73" w:rsidP="00A1763C">
      <w:pPr>
        <w:spacing w:after="0" w:line="288" w:lineRule="auto"/>
        <w:jc w:val="center"/>
        <w:rPr>
          <w:rFonts w:ascii="Times New Roman" w:hAnsi="Times New Roman" w:cs="Times New Roman"/>
          <w:shd w:val="clear" w:color="auto" w:fill="FFFFFF"/>
          <w:vertAlign w:val="superscript"/>
          <w:lang w:val="en-US"/>
        </w:rPr>
      </w:pPr>
      <w:r w:rsidRPr="00A1763C">
        <w:rPr>
          <w:rFonts w:ascii="Times New Roman" w:hAnsi="Times New Roman" w:cs="Times New Roman"/>
          <w:lang w:val="en-US"/>
        </w:rPr>
        <w:t xml:space="preserve">E-mail: </w:t>
      </w:r>
      <w:hyperlink r:id="rId5" w:history="1">
        <w:r w:rsidRPr="00A1763C">
          <w:rPr>
            <w:rStyle w:val="ad"/>
            <w:rFonts w:ascii="Times New Roman" w:hAnsi="Times New Roman" w:cs="Times New Roman"/>
            <w:lang w:val="en-US"/>
          </w:rPr>
          <w:t>avhadievaelina93@gmail.com</w:t>
        </w:r>
      </w:hyperlink>
      <w:r w:rsidRPr="00A1763C">
        <w:rPr>
          <w:rFonts w:ascii="Times New Roman" w:hAnsi="Times New Roman" w:cs="Times New Roman"/>
          <w:vertAlign w:val="superscript"/>
          <w:lang w:val="en-US"/>
        </w:rPr>
        <w:t>1</w:t>
      </w:r>
      <w:r w:rsidRPr="00A1763C">
        <w:rPr>
          <w:rFonts w:ascii="Times New Roman" w:hAnsi="Times New Roman" w:cs="Times New Roman"/>
          <w:lang w:val="en-US"/>
        </w:rPr>
        <w:t xml:space="preserve">, </w:t>
      </w:r>
      <w:hyperlink r:id="rId6" w:history="1">
        <w:r w:rsidRPr="00A1763C">
          <w:rPr>
            <w:rStyle w:val="ad"/>
            <w:rFonts w:ascii="Times New Roman" w:hAnsi="Times New Roman" w:cs="Times New Roman"/>
            <w:lang w:val="en-US"/>
          </w:rPr>
          <w:t>fruktovenko9999@gmail.com</w:t>
        </w:r>
      </w:hyperlink>
      <w:r w:rsidRPr="00A1763C">
        <w:rPr>
          <w:rFonts w:ascii="Times New Roman" w:hAnsi="Times New Roman" w:cs="Times New Roman"/>
          <w:vertAlign w:val="superscript"/>
          <w:lang w:val="en-US"/>
        </w:rPr>
        <w:t>2</w:t>
      </w:r>
      <w:r w:rsidRPr="00A1763C">
        <w:rPr>
          <w:rFonts w:ascii="Times New Roman" w:hAnsi="Times New Roman" w:cs="Times New Roman"/>
          <w:lang w:val="en-US"/>
        </w:rPr>
        <w:t xml:space="preserve">, </w:t>
      </w:r>
      <w:hyperlink r:id="rId7" w:history="1">
        <w:r w:rsidRPr="00A1763C">
          <w:rPr>
            <w:rStyle w:val="ad"/>
            <w:rFonts w:ascii="Times New Roman" w:hAnsi="Times New Roman" w:cs="Times New Roman"/>
            <w:shd w:val="clear" w:color="auto" w:fill="FFFFFF"/>
            <w:lang w:val="en-US"/>
          </w:rPr>
          <w:t>steavi03@gmail.com</w:t>
        </w:r>
      </w:hyperlink>
      <w:r w:rsidRPr="00A1763C">
        <w:rPr>
          <w:rFonts w:ascii="Times New Roman" w:hAnsi="Times New Roman" w:cs="Times New Roman"/>
          <w:shd w:val="clear" w:color="auto" w:fill="FFFFFF"/>
          <w:vertAlign w:val="superscript"/>
          <w:lang w:val="en-US"/>
        </w:rPr>
        <w:t>3</w:t>
      </w:r>
      <w:r w:rsidRPr="00A1763C">
        <w:rPr>
          <w:rFonts w:ascii="Times New Roman" w:hAnsi="Times New Roman" w:cs="Times New Roman"/>
          <w:lang w:val="en-US"/>
        </w:rPr>
        <w:t xml:space="preserve">, </w:t>
      </w:r>
      <w:hyperlink r:id="rId8" w:history="1">
        <w:r w:rsidR="00A1763C" w:rsidRPr="00137B27">
          <w:rPr>
            <w:rStyle w:val="ad"/>
            <w:rFonts w:ascii="Times New Roman" w:hAnsi="Times New Roman" w:cs="Times New Roman"/>
            <w:shd w:val="clear" w:color="auto" w:fill="FFFFFF"/>
            <w:lang w:val="en-US"/>
          </w:rPr>
          <w:t xml:space="preserve">khalidina@mail.ru </w:t>
        </w:r>
        <w:r w:rsidR="00A1763C" w:rsidRPr="00137B27">
          <w:rPr>
            <w:rStyle w:val="ad"/>
            <w:rFonts w:ascii="Times New Roman" w:hAnsi="Times New Roman" w:cs="Times New Roman"/>
            <w:shd w:val="clear" w:color="auto" w:fill="FFFFFF"/>
            <w:vertAlign w:val="superscript"/>
            <w:lang w:val="en-US"/>
          </w:rPr>
          <w:t>4</w:t>
        </w:r>
      </w:hyperlink>
    </w:p>
    <w:p w14:paraId="2CF8D979" w14:textId="77777777" w:rsidR="00A1763C" w:rsidRPr="00A1763C" w:rsidRDefault="00A1763C" w:rsidP="00A1763C">
      <w:pPr>
        <w:spacing w:line="288" w:lineRule="auto"/>
        <w:jc w:val="center"/>
        <w:rPr>
          <w:rFonts w:ascii="Times New Roman" w:hAnsi="Times New Roman" w:cs="Times New Roman"/>
          <w:lang w:val="en-US"/>
        </w:rPr>
      </w:pPr>
    </w:p>
    <w:p w14:paraId="06358D01" w14:textId="07EBB0CA" w:rsidR="00116AF2"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b/>
          <w:bCs/>
        </w:rPr>
        <w:t>Аннотация</w:t>
      </w:r>
      <w:r w:rsidRPr="00A1763C">
        <w:rPr>
          <w:rFonts w:ascii="Times New Roman" w:hAnsi="Times New Roman" w:cs="Times New Roman"/>
          <w:lang w:val="en-US"/>
        </w:rPr>
        <w:t>:</w:t>
      </w:r>
      <w:r w:rsidR="00BF510F" w:rsidRPr="00A1763C">
        <w:rPr>
          <w:rFonts w:ascii="Times New Roman" w:hAnsi="Times New Roman" w:cs="Times New Roman"/>
          <w:lang w:val="en-US"/>
        </w:rPr>
        <w:t xml:space="preserve"> </w:t>
      </w:r>
      <w:r w:rsidR="00A1763C">
        <w:rPr>
          <w:rFonts w:ascii="Times New Roman" w:hAnsi="Times New Roman" w:cs="Times New Roman"/>
        </w:rPr>
        <w:t>а</w:t>
      </w:r>
      <w:r w:rsidRPr="00A1763C">
        <w:rPr>
          <w:rFonts w:ascii="Times New Roman" w:hAnsi="Times New Roman" w:cs="Times New Roman"/>
        </w:rPr>
        <w:t>ктуальность исследования обусловлена необходимостью адаптации нефтегазохимического комплекса России к новым вызовам: ужесточению экологических требований, геополитической нестабильности и изменению структуры спроса на энергоресурсы. Цель работы – выявление взаимосвязи между внедрением принципов ESG (</w:t>
      </w:r>
      <w:proofErr w:type="spellStart"/>
      <w:r w:rsidRPr="00A1763C">
        <w:rPr>
          <w:rFonts w:ascii="Times New Roman" w:hAnsi="Times New Roman" w:cs="Times New Roman"/>
        </w:rPr>
        <w:t>Environmental</w:t>
      </w:r>
      <w:proofErr w:type="spellEnd"/>
      <w:r w:rsidRPr="00A1763C">
        <w:rPr>
          <w:rFonts w:ascii="Times New Roman" w:hAnsi="Times New Roman" w:cs="Times New Roman"/>
        </w:rPr>
        <w:t xml:space="preserve">, Social, </w:t>
      </w:r>
      <w:proofErr w:type="spellStart"/>
      <w:r w:rsidRPr="00A1763C">
        <w:rPr>
          <w:rFonts w:ascii="Times New Roman" w:hAnsi="Times New Roman" w:cs="Times New Roman"/>
        </w:rPr>
        <w:t>Governance</w:t>
      </w:r>
      <w:proofErr w:type="spellEnd"/>
      <w:r w:rsidRPr="00A1763C">
        <w:rPr>
          <w:rFonts w:ascii="Times New Roman" w:hAnsi="Times New Roman" w:cs="Times New Roman"/>
        </w:rPr>
        <w:t>) и повышением операционной эффективности бизнеса на основе анализа ведущих российских компаний. Ведущим подходом выступает системный анализ корпоративных стратегий устойчивого развития, методов управления эффективностью (</w:t>
      </w:r>
      <w:proofErr w:type="spellStart"/>
      <w:r w:rsidRPr="00A1763C">
        <w:rPr>
          <w:rFonts w:ascii="Times New Roman" w:hAnsi="Times New Roman" w:cs="Times New Roman"/>
        </w:rPr>
        <w:t>Agile</w:t>
      </w:r>
      <w:proofErr w:type="spellEnd"/>
      <w:r w:rsidRPr="00A1763C">
        <w:rPr>
          <w:rFonts w:ascii="Times New Roman" w:hAnsi="Times New Roman" w:cs="Times New Roman"/>
        </w:rPr>
        <w:t>, IT/OT-конвергенция, предотвращение потерь маржи) и их сопоставление с отраслевыми бенчмарками. Результаты демонстрируют, что ESG-трансформация в отрасли перешла от формального следования тренду к фактору стратегической конкурентоспособности. Наибольших успехов добились компании, интегрировавшие экологическую и социальную ответственность в операционную модель управления, что позволяет им сокращать потери маржи (</w:t>
      </w:r>
      <w:proofErr w:type="spellStart"/>
      <w:r w:rsidRPr="00A1763C">
        <w:rPr>
          <w:rFonts w:ascii="Times New Roman" w:hAnsi="Times New Roman" w:cs="Times New Roman"/>
        </w:rPr>
        <w:t>margin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leakage</w:t>
      </w:r>
      <w:proofErr w:type="spellEnd"/>
      <w:r w:rsidRPr="00A1763C">
        <w:rPr>
          <w:rFonts w:ascii="Times New Roman" w:hAnsi="Times New Roman" w:cs="Times New Roman"/>
        </w:rPr>
        <w:t>) на 0,5–2,5 долл./</w:t>
      </w:r>
      <w:proofErr w:type="spellStart"/>
      <w:r w:rsidRPr="00A1763C">
        <w:rPr>
          <w:rFonts w:ascii="Times New Roman" w:hAnsi="Times New Roman" w:cs="Times New Roman"/>
        </w:rPr>
        <w:t>барр</w:t>
      </w:r>
      <w:proofErr w:type="spellEnd"/>
      <w:proofErr w:type="gramStart"/>
      <w:r w:rsidRPr="00A1763C">
        <w:rPr>
          <w:rFonts w:ascii="Times New Roman" w:hAnsi="Times New Roman" w:cs="Times New Roman"/>
        </w:rPr>
        <w:t>.</w:t>
      </w:r>
      <w:proofErr w:type="gramEnd"/>
      <w:r w:rsidRPr="00A1763C">
        <w:rPr>
          <w:rFonts w:ascii="Times New Roman" w:hAnsi="Times New Roman" w:cs="Times New Roman"/>
        </w:rPr>
        <w:t xml:space="preserve"> и повышать EBITDA на 2–5% без значительных капитальных затрат. Выводы: будущее нефтехимического комплекса определяется способностью компаний </w:t>
      </w:r>
      <w:r w:rsidRPr="00A1763C">
        <w:rPr>
          <w:rFonts w:ascii="Times New Roman" w:hAnsi="Times New Roman" w:cs="Times New Roman"/>
        </w:rPr>
        <w:lastRenderedPageBreak/>
        <w:t>сочетать ESG-принципы с современными управленческими практиками, что превращает вызовы устойчивого развития в источник инноваций и долгосрочной устойчивости.</w:t>
      </w:r>
    </w:p>
    <w:p w14:paraId="293C2229" w14:textId="166F5B51" w:rsidR="00841B26"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b/>
          <w:bCs/>
        </w:rPr>
        <w:t>Ключевые слова</w:t>
      </w:r>
      <w:r w:rsidRPr="00A1763C">
        <w:rPr>
          <w:rFonts w:ascii="Times New Roman" w:hAnsi="Times New Roman" w:cs="Times New Roman"/>
        </w:rPr>
        <w:t>:</w:t>
      </w:r>
    </w:p>
    <w:p w14:paraId="1C6409D0" w14:textId="1FD0D305" w:rsidR="00BF510F"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ESG-трансформация, устойчивое развитие, нефтегазохимия, управление эффективностью, потери маржи, IT/OT-конвергенция, корпоративное управление.</w:t>
      </w:r>
    </w:p>
    <w:p w14:paraId="5667B0E5" w14:textId="3A7C7DBE" w:rsidR="00116AF2"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b/>
          <w:bCs/>
          <w:lang w:val="en-US"/>
        </w:rPr>
        <w:t>Abstract</w:t>
      </w:r>
      <w:r w:rsidRPr="00A1763C">
        <w:rPr>
          <w:rFonts w:ascii="Times New Roman" w:hAnsi="Times New Roman" w:cs="Times New Roman"/>
          <w:lang w:val="en-US"/>
        </w:rPr>
        <w:t>:</w:t>
      </w:r>
      <w:r w:rsidR="00A1763C">
        <w:rPr>
          <w:rFonts w:ascii="Times New Roman" w:hAnsi="Times New Roman" w:cs="Times New Roman"/>
        </w:rPr>
        <w:t xml:space="preserve"> </w:t>
      </w:r>
      <w:r w:rsidR="00A1763C">
        <w:rPr>
          <w:rFonts w:ascii="Times New Roman" w:hAnsi="Times New Roman" w:cs="Times New Roman"/>
          <w:lang w:val="en-US"/>
        </w:rPr>
        <w:t>t</w:t>
      </w:r>
      <w:r w:rsidRPr="00A1763C">
        <w:rPr>
          <w:rFonts w:ascii="Times New Roman" w:hAnsi="Times New Roman" w:cs="Times New Roman"/>
          <w:lang w:val="en-US"/>
        </w:rPr>
        <w:t>he relevance of the study is due to the need for the Russian petrochemical complex to adapt to new challenges: tightening environmental requirements, geopolitical instability and changing structure of energy demand. The purpose of the work is to identify the relationship between the implementation of ESG (Environmental, Social, Governance) principles and the increase in operational efficiency of business based on the analysis of leading Russian companies. The leading approach is a systematic analysis of corporate sustainable development strategies, performance management methods (Agile, IT/OT convergence, margin leakage prevention) and their comparison with industry benchmarks. The results demonstrate that ESG transformation in the industry has moved from formal trend following to a factor of strategic competitiveness. The greatest success has been achieved by companies that have integrated environmental and social responsibility into the operational management model, which allows them to reduce margin leakage by $0.5–2.5 per barrel and increase EBITDA by 2–5% without significant capital expenditures. Conclusions: the future of the petrochemical complex is determined by the ability of companies to combine ESG principles with modern management practices, which turns sustainable development challenges into a source of innovation and long-term sustainability.</w:t>
      </w:r>
    </w:p>
    <w:p w14:paraId="63630B01" w14:textId="5E7F1F18" w:rsidR="00841B26"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b/>
          <w:bCs/>
          <w:lang w:val="en-US"/>
        </w:rPr>
        <w:t>Keywords</w:t>
      </w:r>
      <w:r w:rsidRPr="00A1763C">
        <w:rPr>
          <w:rFonts w:ascii="Times New Roman" w:hAnsi="Times New Roman" w:cs="Times New Roman"/>
          <w:lang w:val="en-US"/>
        </w:rPr>
        <w:t>:</w:t>
      </w:r>
    </w:p>
    <w:p w14:paraId="7164C7AB" w14:textId="005F0719" w:rsidR="00BF510F"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lang w:val="en-US"/>
        </w:rPr>
        <w:t>ESG transformation, sustainable development, petrochemistry, performance management, margin leakage, IT/OT convergence, corporate governance.</w:t>
      </w:r>
    </w:p>
    <w:p w14:paraId="3E323E59" w14:textId="234E44AC" w:rsidR="00116AF2" w:rsidRPr="00A1763C" w:rsidRDefault="00116AF2" w:rsidP="00A1763C">
      <w:pPr>
        <w:spacing w:before="120" w:after="120" w:line="288" w:lineRule="auto"/>
        <w:ind w:left="709"/>
        <w:jc w:val="both"/>
        <w:rPr>
          <w:rFonts w:ascii="Times New Roman" w:hAnsi="Times New Roman" w:cs="Times New Roman"/>
          <w:b/>
          <w:bCs/>
        </w:rPr>
      </w:pPr>
      <w:r w:rsidRPr="00A1763C">
        <w:rPr>
          <w:rFonts w:ascii="Times New Roman" w:hAnsi="Times New Roman" w:cs="Times New Roman"/>
          <w:b/>
          <w:bCs/>
        </w:rPr>
        <w:t>Введение (</w:t>
      </w:r>
      <w:r w:rsidRPr="00A1763C">
        <w:rPr>
          <w:rFonts w:ascii="Times New Roman" w:hAnsi="Times New Roman" w:cs="Times New Roman"/>
          <w:b/>
          <w:bCs/>
          <w:lang w:val="en-US"/>
        </w:rPr>
        <w:t>Introduction</w:t>
      </w:r>
      <w:r w:rsidRPr="00A1763C">
        <w:rPr>
          <w:rFonts w:ascii="Times New Roman" w:hAnsi="Times New Roman" w:cs="Times New Roman"/>
          <w:b/>
          <w:bCs/>
        </w:rPr>
        <w:t>)</w:t>
      </w:r>
    </w:p>
    <w:p w14:paraId="1E4B8A7B" w14:textId="6A9035D5"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lang w:val="en-US"/>
        </w:rPr>
        <w:t>ESG</w:t>
      </w:r>
      <w:r w:rsidRPr="00A1763C">
        <w:rPr>
          <w:rFonts w:ascii="Times New Roman" w:hAnsi="Times New Roman" w:cs="Times New Roman"/>
        </w:rPr>
        <w:t>-трансформация бизнеса является неотъемлемой частью современного технологического общества. В связи с политико-экономическими мировыми тенденциями промышленность должна отвечать всё более ужесточаемым требованиям в области социально-экологической политики. Во всём мире стремятся к применению технологий, удовлетворяющих экологическим требованиям, в том числе и в России. При внедрении инновационных технологий в нефтяной промышленности возникают определённые трудности экологического характера, приводящие к экономическим затратам и ограниченной эффективности производства. Усугубляют ситуацию экономические глобальные кризисы, инфляция, геополитическая нестабильность и структурные кризисы, что мешает эффективно реализовывать ESG-трансформацию [1].</w:t>
      </w:r>
    </w:p>
    <w:p w14:paraId="2B0B1B25" w14:textId="0006D4EC" w:rsidR="00391BB1"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 xml:space="preserve">Объектом исследования выступает деятельность крупнейших российских нефтегазохимических компаний, предметом – механизмы интеграции ESG-принципов в корпоративную стратегию и операционное управление. Актуальность работы определяется необходимостью поиска баланса между экологической ответственностью, социальными ожиданиями и экономической эффективностью в условиях санкционного давления и </w:t>
      </w:r>
      <w:proofErr w:type="spellStart"/>
      <w:r w:rsidRPr="00A1763C">
        <w:rPr>
          <w:rFonts w:ascii="Times New Roman" w:hAnsi="Times New Roman" w:cs="Times New Roman"/>
        </w:rPr>
        <w:t>энергоперехода</w:t>
      </w:r>
      <w:proofErr w:type="spellEnd"/>
      <w:r w:rsidRPr="00A1763C">
        <w:rPr>
          <w:rFonts w:ascii="Times New Roman" w:hAnsi="Times New Roman" w:cs="Times New Roman"/>
        </w:rPr>
        <w:t xml:space="preserve">. Цель статьи – на основе анализа передовых практик выявить ключевые факторы успешной ESG-трансформации, способствующие повышению конкурентоспособности бизнеса. Для достижения цели поставлены следующие задачи: </w:t>
      </w:r>
      <w:r w:rsidRPr="00A1763C">
        <w:rPr>
          <w:rFonts w:ascii="Times New Roman" w:hAnsi="Times New Roman" w:cs="Times New Roman"/>
        </w:rPr>
        <w:lastRenderedPageBreak/>
        <w:t>1) систематизировать причины и барьеры внедрения ESG в нефтехимии; 2) оценить методы управления эффективностью, дополняющие ESG-стратегии; 3) провести сравнительный анализ российских компаний; 4) определить перспективные направления развития.</w:t>
      </w:r>
    </w:p>
    <w:p w14:paraId="49FD7A72" w14:textId="641D20CC" w:rsidR="00116AF2" w:rsidRPr="00A1763C" w:rsidRDefault="00116AF2" w:rsidP="00A1763C">
      <w:pPr>
        <w:spacing w:after="120" w:line="288" w:lineRule="auto"/>
        <w:ind w:firstLine="708"/>
        <w:jc w:val="both"/>
        <w:rPr>
          <w:rFonts w:ascii="Times New Roman" w:hAnsi="Times New Roman" w:cs="Times New Roman"/>
          <w:b/>
          <w:bCs/>
          <w:lang w:val="en-US"/>
        </w:rPr>
      </w:pPr>
      <w:r w:rsidRPr="00A1763C">
        <w:rPr>
          <w:rFonts w:ascii="Times New Roman" w:hAnsi="Times New Roman" w:cs="Times New Roman"/>
          <w:b/>
          <w:bCs/>
        </w:rPr>
        <w:t>Ведущий</w:t>
      </w:r>
      <w:r w:rsidRPr="00A1763C">
        <w:rPr>
          <w:rFonts w:ascii="Times New Roman" w:hAnsi="Times New Roman" w:cs="Times New Roman"/>
          <w:b/>
          <w:bCs/>
          <w:lang w:val="en-US"/>
        </w:rPr>
        <w:t xml:space="preserve"> </w:t>
      </w:r>
      <w:r w:rsidRPr="00A1763C">
        <w:rPr>
          <w:rFonts w:ascii="Times New Roman" w:hAnsi="Times New Roman" w:cs="Times New Roman"/>
          <w:b/>
          <w:bCs/>
        </w:rPr>
        <w:t>подход</w:t>
      </w:r>
      <w:r w:rsidRPr="00A1763C">
        <w:rPr>
          <w:rFonts w:ascii="Times New Roman" w:hAnsi="Times New Roman" w:cs="Times New Roman"/>
          <w:b/>
          <w:bCs/>
          <w:lang w:val="en-US"/>
        </w:rPr>
        <w:t xml:space="preserve"> (Materials and Methods)</w:t>
      </w:r>
    </w:p>
    <w:p w14:paraId="2A306DA3" w14:textId="4C802174"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Теоретической основой исследования послужили работы отечественных и зарубежных авторов в области устойчивого развития, корпоративного управления и операционной эффективности [2–7]. В качестве эмпирической базы использованы интегрированные отчёты, отчёты об устойчивом развитии и нефинансовая отчётность ПАО «</w:t>
      </w:r>
      <w:proofErr w:type="spellStart"/>
      <w:r w:rsidRPr="00A1763C">
        <w:rPr>
          <w:rFonts w:ascii="Times New Roman" w:hAnsi="Times New Roman" w:cs="Times New Roman"/>
        </w:rPr>
        <w:t>Сибур</w:t>
      </w:r>
      <w:proofErr w:type="spellEnd"/>
      <w:r w:rsidRPr="00A1763C">
        <w:rPr>
          <w:rFonts w:ascii="Times New Roman" w:hAnsi="Times New Roman" w:cs="Times New Roman"/>
        </w:rPr>
        <w:t xml:space="preserve"> Холдинг», ПАО «НК «Роснефть», ПАО «ЛУКОЙЛ», ПАО «Газпром», ПАО «Татнефть» им. В.Д. </w:t>
      </w:r>
      <w:proofErr w:type="spellStart"/>
      <w:r w:rsidRPr="00A1763C">
        <w:rPr>
          <w:rFonts w:ascii="Times New Roman" w:hAnsi="Times New Roman" w:cs="Times New Roman"/>
        </w:rPr>
        <w:t>Шашина</w:t>
      </w:r>
      <w:proofErr w:type="spellEnd"/>
      <w:r w:rsidRPr="00A1763C">
        <w:rPr>
          <w:rFonts w:ascii="Times New Roman" w:hAnsi="Times New Roman" w:cs="Times New Roman"/>
        </w:rPr>
        <w:t xml:space="preserve"> за 2023–2025 гг. [9–14, 17]. Для оценки методов управления эффективностью привлечены аналитические материалы консалтинговых компаний McKinsey, </w:t>
      </w:r>
      <w:proofErr w:type="spellStart"/>
      <w:r w:rsidRPr="00A1763C">
        <w:rPr>
          <w:rFonts w:ascii="Times New Roman" w:hAnsi="Times New Roman" w:cs="Times New Roman"/>
        </w:rPr>
        <w:t>Solomon</w:t>
      </w:r>
      <w:proofErr w:type="spellEnd"/>
      <w:r w:rsidRPr="00A1763C">
        <w:rPr>
          <w:rFonts w:ascii="Times New Roman" w:hAnsi="Times New Roman" w:cs="Times New Roman"/>
        </w:rPr>
        <w:t xml:space="preserve"> Associates, </w:t>
      </w:r>
      <w:proofErr w:type="spellStart"/>
      <w:r w:rsidRPr="00A1763C">
        <w:rPr>
          <w:rFonts w:ascii="Times New Roman" w:hAnsi="Times New Roman" w:cs="Times New Roman"/>
        </w:rPr>
        <w:t>Yokogawa</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Becht</w:t>
      </w:r>
      <w:proofErr w:type="spellEnd"/>
      <w:r w:rsidRPr="00A1763C">
        <w:rPr>
          <w:rFonts w:ascii="Times New Roman" w:hAnsi="Times New Roman" w:cs="Times New Roman"/>
        </w:rPr>
        <w:t xml:space="preserve"> Engineering, </w:t>
      </w:r>
      <w:proofErr w:type="spellStart"/>
      <w:r w:rsidRPr="00A1763C">
        <w:rPr>
          <w:rFonts w:ascii="Times New Roman" w:hAnsi="Times New Roman" w:cs="Times New Roman"/>
        </w:rPr>
        <w:t>Axens</w:t>
      </w:r>
      <w:proofErr w:type="spellEnd"/>
      <w:r w:rsidRPr="00A1763C">
        <w:rPr>
          <w:rFonts w:ascii="Times New Roman" w:hAnsi="Times New Roman" w:cs="Times New Roman"/>
        </w:rPr>
        <w:t xml:space="preserve"> [15, 16, 18, 20].</w:t>
      </w:r>
    </w:p>
    <w:p w14:paraId="30ED89ED" w14:textId="5476967C"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Методология включает: контент-анализ корпоративной отчётности для выявления ключевых показателей ESG; сравнительный анализ подходов к интеграции ESG в бизнес-модель; синтез управленческих практик (</w:t>
      </w:r>
      <w:proofErr w:type="spellStart"/>
      <w:r w:rsidRPr="00A1763C">
        <w:rPr>
          <w:rFonts w:ascii="Times New Roman" w:hAnsi="Times New Roman" w:cs="Times New Roman"/>
        </w:rPr>
        <w:t>Agile</w:t>
      </w:r>
      <w:proofErr w:type="spellEnd"/>
      <w:r w:rsidRPr="00A1763C">
        <w:rPr>
          <w:rFonts w:ascii="Times New Roman" w:hAnsi="Times New Roman" w:cs="Times New Roman"/>
        </w:rPr>
        <w:t xml:space="preserve">-команды, </w:t>
      </w:r>
      <w:proofErr w:type="spellStart"/>
      <w:r w:rsidRPr="00A1763C">
        <w:rPr>
          <w:rFonts w:ascii="Times New Roman" w:hAnsi="Times New Roman" w:cs="Times New Roman"/>
        </w:rPr>
        <w:t>Profit-driven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Operation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margin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leakage</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prevention</w:t>
      </w:r>
      <w:proofErr w:type="spellEnd"/>
      <w:r w:rsidRPr="00A1763C">
        <w:rPr>
          <w:rFonts w:ascii="Times New Roman" w:hAnsi="Times New Roman" w:cs="Times New Roman"/>
        </w:rPr>
        <w:t>). Для теоретического обобщения использован системный подход, позволяющий рассматривать ESG-трансформацию как взаимосвязанный процесс изменения организационной структуры, культуры и технологической базы.</w:t>
      </w:r>
    </w:p>
    <w:p w14:paraId="28810B02" w14:textId="357C7B1E" w:rsidR="00116AF2" w:rsidRPr="00A1763C" w:rsidRDefault="00116AF2" w:rsidP="00A1763C">
      <w:pPr>
        <w:spacing w:before="120" w:after="120" w:line="288" w:lineRule="auto"/>
        <w:ind w:left="709"/>
        <w:jc w:val="both"/>
        <w:rPr>
          <w:rFonts w:ascii="Times New Roman" w:hAnsi="Times New Roman" w:cs="Times New Roman"/>
          <w:b/>
          <w:bCs/>
        </w:rPr>
      </w:pPr>
      <w:r w:rsidRPr="00A1763C">
        <w:rPr>
          <w:rFonts w:ascii="Times New Roman" w:hAnsi="Times New Roman" w:cs="Times New Roman"/>
          <w:b/>
          <w:bCs/>
        </w:rPr>
        <w:t>Результаты (</w:t>
      </w:r>
      <w:proofErr w:type="spellStart"/>
      <w:r w:rsidRPr="00A1763C">
        <w:rPr>
          <w:rFonts w:ascii="Times New Roman" w:hAnsi="Times New Roman" w:cs="Times New Roman"/>
          <w:b/>
          <w:bCs/>
        </w:rPr>
        <w:t>Results</w:t>
      </w:r>
      <w:proofErr w:type="spellEnd"/>
      <w:r w:rsidRPr="00A1763C">
        <w:rPr>
          <w:rFonts w:ascii="Times New Roman" w:hAnsi="Times New Roman" w:cs="Times New Roman"/>
          <w:b/>
          <w:bCs/>
        </w:rPr>
        <w:t>)</w:t>
      </w:r>
    </w:p>
    <w:p w14:paraId="79901C32" w14:textId="7281EDA8" w:rsidR="00116AF2"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rPr>
        <w:t>1. Причины и барьеры ESG-трансформации</w:t>
      </w:r>
      <w:r w:rsidR="00A1763C">
        <w:rPr>
          <w:rFonts w:ascii="Times New Roman" w:hAnsi="Times New Roman" w:cs="Times New Roman"/>
          <w:lang w:val="en-US"/>
        </w:rPr>
        <w:t>.</w:t>
      </w:r>
    </w:p>
    <w:p w14:paraId="378B6477" w14:textId="27A1713E"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Концепция ESG объединяет три направления: экологическое (Е) – сокращение выбросов, энергоэффективность, водопользование; социальное (S) – охрана труда, гендерное равенство, права человека; управленческое (G) – прозрачность, борьба с коррупцией, защита прав акционеров [2, 3]. Внедрение этих принципов позволяет компаниям снижать операционные расходы (например, за счёт солнечной энергетики на Омском НПЗ «Газпром нефти» [5]), привлекать «зелёных» инвесторов и укреплять репутацию. Однако существуют барьеры: необходимость дополнительных капитальных затрат, риск роста нефинансовой нагрузки и усиление конкуренции за счёт ухода с рынка мелких игроков [4, 5].</w:t>
      </w:r>
    </w:p>
    <w:p w14:paraId="7999F5F4" w14:textId="39E3C824" w:rsidR="00116AF2"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rPr>
        <w:t>2. Методы повышения эффективности в связке с ESG</w:t>
      </w:r>
      <w:r w:rsidR="00A1763C">
        <w:rPr>
          <w:rFonts w:ascii="Times New Roman" w:hAnsi="Times New Roman" w:cs="Times New Roman"/>
          <w:lang w:val="en-US"/>
        </w:rPr>
        <w:t>.</w:t>
      </w:r>
    </w:p>
    <w:p w14:paraId="227D91D8" w14:textId="7777777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Современные подходы к управлению эффективностью органично дополняют ESG-повестку. Анализ практик ведущих консультантов [15, 16, 18, 20] позволил выделить три ключевых механизма:</w:t>
      </w:r>
    </w:p>
    <w:p w14:paraId="4650DD37" w14:textId="44B32AA2"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 Организационная гибкость (</w:t>
      </w:r>
      <w:proofErr w:type="spellStart"/>
      <w:r w:rsidRPr="00A1763C">
        <w:rPr>
          <w:rFonts w:ascii="Times New Roman" w:hAnsi="Times New Roman" w:cs="Times New Roman"/>
        </w:rPr>
        <w:t>Agile</w:t>
      </w:r>
      <w:proofErr w:type="spellEnd"/>
      <w:r w:rsidRPr="00A1763C">
        <w:rPr>
          <w:rFonts w:ascii="Times New Roman" w:hAnsi="Times New Roman" w:cs="Times New Roman"/>
        </w:rPr>
        <w:t>) – создание кросс-функциональных команд вокруг технологических установок (например, «команда крекинга»), что сокращает время принятия решений на 30–40% и улучшает взаимодействие между производством, коммерцией и финансами.</w:t>
      </w:r>
    </w:p>
    <w:p w14:paraId="27436757" w14:textId="632902B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 Финансовая прозрачность производства (</w:t>
      </w:r>
      <w:proofErr w:type="spellStart"/>
      <w:r w:rsidRPr="00A1763C">
        <w:rPr>
          <w:rFonts w:ascii="Times New Roman" w:hAnsi="Times New Roman" w:cs="Times New Roman"/>
        </w:rPr>
        <w:t>Profit-driven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Operation</w:t>
      </w:r>
      <w:proofErr w:type="spellEnd"/>
      <w:r w:rsidRPr="00A1763C">
        <w:rPr>
          <w:rFonts w:ascii="Times New Roman" w:hAnsi="Times New Roman" w:cs="Times New Roman"/>
        </w:rPr>
        <w:t>) – внедрение «синаптических показателей» (</w:t>
      </w:r>
      <w:proofErr w:type="spellStart"/>
      <w:r w:rsidRPr="00A1763C">
        <w:rPr>
          <w:rFonts w:ascii="Times New Roman" w:hAnsi="Times New Roman" w:cs="Times New Roman"/>
        </w:rPr>
        <w:t>SPIs</w:t>
      </w:r>
      <w:proofErr w:type="spellEnd"/>
      <w:r w:rsidRPr="00A1763C">
        <w:rPr>
          <w:rFonts w:ascii="Times New Roman" w:hAnsi="Times New Roman" w:cs="Times New Roman"/>
        </w:rPr>
        <w:t>), связывающих режим работы установки с текущей маржинальностью, и использование цифровых двойников для оптимизации в реальном времени.</w:t>
      </w:r>
    </w:p>
    <w:p w14:paraId="38D2983F" w14:textId="77821D4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lastRenderedPageBreak/>
        <w:t>- Управление потерями маржи (</w:t>
      </w:r>
      <w:proofErr w:type="spellStart"/>
      <w:r w:rsidRPr="00A1763C">
        <w:rPr>
          <w:rFonts w:ascii="Times New Roman" w:hAnsi="Times New Roman" w:cs="Times New Roman"/>
        </w:rPr>
        <w:t>Margin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Leakage</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Prevention</w:t>
      </w:r>
      <w:proofErr w:type="spellEnd"/>
      <w:r w:rsidRPr="00A1763C">
        <w:rPr>
          <w:rFonts w:ascii="Times New Roman" w:hAnsi="Times New Roman" w:cs="Times New Roman"/>
        </w:rPr>
        <w:t xml:space="preserve">) – системный аудит цепочки создания стоимости, позволяющий сокращать неоптимальные закупки, перестраховку при смешении компонентов и избыточное энергопотребление. По оценкам </w:t>
      </w:r>
      <w:proofErr w:type="spellStart"/>
      <w:r w:rsidRPr="00A1763C">
        <w:rPr>
          <w:rFonts w:ascii="Times New Roman" w:hAnsi="Times New Roman" w:cs="Times New Roman"/>
        </w:rPr>
        <w:t>Yokogawa</w:t>
      </w:r>
      <w:proofErr w:type="spellEnd"/>
      <w:r w:rsidRPr="00A1763C">
        <w:rPr>
          <w:rFonts w:ascii="Times New Roman" w:hAnsi="Times New Roman" w:cs="Times New Roman"/>
        </w:rPr>
        <w:t xml:space="preserve"> [16], потенциальные потери достигают 0,5–2,5 долл./</w:t>
      </w:r>
      <w:proofErr w:type="spellStart"/>
      <w:r w:rsidRPr="00A1763C">
        <w:rPr>
          <w:rFonts w:ascii="Times New Roman" w:hAnsi="Times New Roman" w:cs="Times New Roman"/>
        </w:rPr>
        <w:t>барр</w:t>
      </w:r>
      <w:proofErr w:type="spellEnd"/>
      <w:r w:rsidRPr="00A1763C">
        <w:rPr>
          <w:rFonts w:ascii="Times New Roman" w:hAnsi="Times New Roman" w:cs="Times New Roman"/>
        </w:rPr>
        <w:t>., а их сокращение даёт прирост EBITDA на 2–5% без значительных инвестиций.</w:t>
      </w:r>
    </w:p>
    <w:p w14:paraId="02277159" w14:textId="4DB1D276" w:rsidR="00116AF2" w:rsidRPr="00A1763C" w:rsidRDefault="00116AF2" w:rsidP="00A1763C">
      <w:pPr>
        <w:spacing w:after="0" w:line="288" w:lineRule="auto"/>
        <w:ind w:firstLine="709"/>
        <w:jc w:val="both"/>
        <w:rPr>
          <w:rFonts w:ascii="Times New Roman" w:hAnsi="Times New Roman" w:cs="Times New Roman"/>
          <w:lang w:val="en-US"/>
        </w:rPr>
      </w:pPr>
      <w:r w:rsidRPr="00A1763C">
        <w:rPr>
          <w:rFonts w:ascii="Times New Roman" w:hAnsi="Times New Roman" w:cs="Times New Roman"/>
        </w:rPr>
        <w:t>3. Анализ практик российских компаний</w:t>
      </w:r>
      <w:r w:rsidR="00A1763C">
        <w:rPr>
          <w:rFonts w:ascii="Times New Roman" w:hAnsi="Times New Roman" w:cs="Times New Roman"/>
          <w:lang w:val="en-US"/>
        </w:rPr>
        <w:t>.</w:t>
      </w:r>
    </w:p>
    <w:p w14:paraId="3E34093F" w14:textId="7777777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Проведённое исследование показало дифференциацию подходов к ESG-трансформации (табл. 1).</w:t>
      </w:r>
    </w:p>
    <w:p w14:paraId="39398132" w14:textId="4396F9B2" w:rsidR="00116AF2" w:rsidRPr="00A1763C" w:rsidRDefault="00116AF2" w:rsidP="00A1763C">
      <w:pPr>
        <w:spacing w:line="288" w:lineRule="auto"/>
        <w:jc w:val="right"/>
        <w:rPr>
          <w:rFonts w:ascii="Times New Roman" w:hAnsi="Times New Roman" w:cs="Times New Roman"/>
        </w:rPr>
      </w:pPr>
      <w:r w:rsidRPr="00A1763C">
        <w:rPr>
          <w:rFonts w:ascii="Times New Roman" w:hAnsi="Times New Roman" w:cs="Times New Roman"/>
        </w:rPr>
        <w:t>Таблица 1</w:t>
      </w:r>
    </w:p>
    <w:p w14:paraId="1623CD36" w14:textId="7D874B66" w:rsidR="00116AF2" w:rsidRPr="00A1763C" w:rsidRDefault="00116AF2" w:rsidP="00A1763C">
      <w:pPr>
        <w:spacing w:line="288" w:lineRule="auto"/>
        <w:jc w:val="center"/>
        <w:rPr>
          <w:rFonts w:ascii="Times New Roman" w:hAnsi="Times New Roman" w:cs="Times New Roman"/>
          <w:b/>
          <w:bCs/>
        </w:rPr>
      </w:pPr>
      <w:r w:rsidRPr="00A1763C">
        <w:rPr>
          <w:rFonts w:ascii="Times New Roman" w:hAnsi="Times New Roman" w:cs="Times New Roman"/>
          <w:b/>
          <w:bCs/>
        </w:rPr>
        <w:t xml:space="preserve">Сравнительная характеристика ESG-стратегий российских </w:t>
      </w:r>
      <w:r w:rsidR="00A1763C">
        <w:rPr>
          <w:rFonts w:ascii="Times New Roman" w:hAnsi="Times New Roman" w:cs="Times New Roman"/>
          <w:b/>
          <w:bCs/>
        </w:rPr>
        <w:br/>
      </w:r>
      <w:r w:rsidRPr="00A1763C">
        <w:rPr>
          <w:rFonts w:ascii="Times New Roman" w:hAnsi="Times New Roman" w:cs="Times New Roman"/>
          <w:b/>
          <w:bCs/>
        </w:rPr>
        <w:t>нефтегазохимических компаний</w:t>
      </w:r>
    </w:p>
    <w:tbl>
      <w:tblPr>
        <w:tblStyle w:val="ac"/>
        <w:tblW w:w="0" w:type="auto"/>
        <w:tblLook w:val="04A0" w:firstRow="1" w:lastRow="0" w:firstColumn="1" w:lastColumn="0" w:noHBand="0" w:noVBand="1"/>
      </w:tblPr>
      <w:tblGrid>
        <w:gridCol w:w="3020"/>
        <w:gridCol w:w="3020"/>
        <w:gridCol w:w="3021"/>
      </w:tblGrid>
      <w:tr w:rsidR="00391BB1" w:rsidRPr="00A1763C" w14:paraId="6A0590D3" w14:textId="77777777" w:rsidTr="00A1763C">
        <w:tc>
          <w:tcPr>
            <w:tcW w:w="3020" w:type="dxa"/>
            <w:vAlign w:val="center"/>
          </w:tcPr>
          <w:p w14:paraId="383BF2D1" w14:textId="38E36318"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Компания</w:t>
            </w:r>
          </w:p>
        </w:tc>
        <w:tc>
          <w:tcPr>
            <w:tcW w:w="3020" w:type="dxa"/>
            <w:vAlign w:val="center"/>
          </w:tcPr>
          <w:p w14:paraId="6EDF1EAE" w14:textId="151B6322"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Ключевые ESG-инициативы</w:t>
            </w:r>
          </w:p>
        </w:tc>
        <w:tc>
          <w:tcPr>
            <w:tcW w:w="3021" w:type="dxa"/>
            <w:vAlign w:val="center"/>
          </w:tcPr>
          <w:p w14:paraId="00A8E27D" w14:textId="5989E6A0"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Особенности интеграции с операционной эффективностью</w:t>
            </w:r>
          </w:p>
        </w:tc>
      </w:tr>
      <w:tr w:rsidR="00391BB1" w:rsidRPr="00A1763C" w14:paraId="657ADB68" w14:textId="77777777" w:rsidTr="00A1763C">
        <w:tc>
          <w:tcPr>
            <w:tcW w:w="3020" w:type="dxa"/>
            <w:vAlign w:val="center"/>
          </w:tcPr>
          <w:p w14:paraId="7291F06D" w14:textId="58489A97"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ПАО «</w:t>
            </w:r>
            <w:proofErr w:type="spellStart"/>
            <w:r w:rsidRPr="00A1763C">
              <w:rPr>
                <w:rFonts w:ascii="Times New Roman" w:hAnsi="Times New Roman" w:cs="Times New Roman"/>
              </w:rPr>
              <w:t>Сибур</w:t>
            </w:r>
            <w:proofErr w:type="spellEnd"/>
            <w:r w:rsidRPr="00A1763C">
              <w:rPr>
                <w:rFonts w:ascii="Times New Roman" w:hAnsi="Times New Roman" w:cs="Times New Roman"/>
              </w:rPr>
              <w:t xml:space="preserve"> Холдинг»</w:t>
            </w:r>
          </w:p>
        </w:tc>
        <w:tc>
          <w:tcPr>
            <w:tcW w:w="3020" w:type="dxa"/>
            <w:vAlign w:val="center"/>
          </w:tcPr>
          <w:p w14:paraId="63C181FA" w14:textId="14ABED47" w:rsidR="00391BB1" w:rsidRPr="00A1763C" w:rsidRDefault="00391BB1" w:rsidP="00A1763C">
            <w:pPr>
              <w:jc w:val="center"/>
              <w:rPr>
                <w:rFonts w:ascii="Times New Roman" w:hAnsi="Times New Roman" w:cs="Times New Roman"/>
              </w:rPr>
            </w:pPr>
            <w:r w:rsidRPr="00A1763C">
              <w:rPr>
                <w:rFonts w:ascii="Times New Roman" w:hAnsi="Times New Roman" w:cs="Times New Roman"/>
              </w:rPr>
              <w:t xml:space="preserve">Инвестиции в экологию 13 млрд руб. (2024), проекты по очистке сточных вод, переработка пластика </w:t>
            </w:r>
            <w:proofErr w:type="spellStart"/>
            <w:r w:rsidRPr="00A1763C">
              <w:rPr>
                <w:rFonts w:ascii="Times New Roman" w:hAnsi="Times New Roman" w:cs="Times New Roman"/>
              </w:rPr>
              <w:t>Vivilen</w:t>
            </w:r>
            <w:proofErr w:type="spellEnd"/>
            <w:r w:rsidRPr="00A1763C">
              <w:rPr>
                <w:rFonts w:ascii="Times New Roman" w:hAnsi="Times New Roman" w:cs="Times New Roman"/>
              </w:rPr>
              <w:t>, высший рейтинг нефинансовой отчётности [9, 10]</w:t>
            </w:r>
          </w:p>
        </w:tc>
        <w:tc>
          <w:tcPr>
            <w:tcW w:w="3021" w:type="dxa"/>
            <w:vAlign w:val="center"/>
          </w:tcPr>
          <w:p w14:paraId="11A441BE" w14:textId="2C0D330B" w:rsidR="00391BB1" w:rsidRPr="00A1763C" w:rsidRDefault="00391BB1" w:rsidP="00A1763C">
            <w:pPr>
              <w:jc w:val="center"/>
              <w:rPr>
                <w:rFonts w:ascii="Times New Roman" w:hAnsi="Times New Roman" w:cs="Times New Roman"/>
              </w:rPr>
            </w:pPr>
            <w:r w:rsidRPr="00A1763C">
              <w:rPr>
                <w:rFonts w:ascii="Times New Roman" w:hAnsi="Times New Roman" w:cs="Times New Roman"/>
              </w:rPr>
              <w:t>ESG «вшита» в бизнес-модель, отчётность по МСФО интегрирована с климатическими данными; продукция ориентирована на экспортные рынки</w:t>
            </w:r>
          </w:p>
        </w:tc>
      </w:tr>
      <w:tr w:rsidR="00391BB1" w:rsidRPr="00A1763C" w14:paraId="00CE6178" w14:textId="77777777" w:rsidTr="00A1763C">
        <w:tc>
          <w:tcPr>
            <w:tcW w:w="3020" w:type="dxa"/>
            <w:vAlign w:val="center"/>
          </w:tcPr>
          <w:p w14:paraId="35400644" w14:textId="2AE983FA"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ПАО «НК «Роснефть»</w:t>
            </w:r>
          </w:p>
        </w:tc>
        <w:tc>
          <w:tcPr>
            <w:tcW w:w="3020" w:type="dxa"/>
            <w:vAlign w:val="center"/>
          </w:tcPr>
          <w:p w14:paraId="743D1E3D" w14:textId="3ABD9288"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Инвестиции в охрану среды &gt;440 млрд руб. за 5 лет, сокращение выбросов, участие в сохранении экосистем [11, 12]</w:t>
            </w:r>
          </w:p>
        </w:tc>
        <w:tc>
          <w:tcPr>
            <w:tcW w:w="3021" w:type="dxa"/>
            <w:vAlign w:val="center"/>
          </w:tcPr>
          <w:p w14:paraId="67BE0B8F" w14:textId="1C341575"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Масштабные природоохранные проекты, но отставание в развитии «зелёной» продукции по сравнению с лидерами</w:t>
            </w:r>
          </w:p>
        </w:tc>
      </w:tr>
      <w:tr w:rsidR="00391BB1" w:rsidRPr="00A1763C" w14:paraId="2EDC1B16" w14:textId="77777777" w:rsidTr="00A1763C">
        <w:tc>
          <w:tcPr>
            <w:tcW w:w="3020" w:type="dxa"/>
            <w:vAlign w:val="center"/>
          </w:tcPr>
          <w:p w14:paraId="087DD705" w14:textId="10C15673"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ПАО «ЛУКОЙЛ»</w:t>
            </w:r>
          </w:p>
        </w:tc>
        <w:tc>
          <w:tcPr>
            <w:tcW w:w="3020" w:type="dxa"/>
            <w:vAlign w:val="center"/>
          </w:tcPr>
          <w:p w14:paraId="5EAE848D" w14:textId="4A3E5269" w:rsidR="00391BB1" w:rsidRPr="00A1763C" w:rsidRDefault="00391BB1" w:rsidP="00A1763C">
            <w:pPr>
              <w:jc w:val="center"/>
              <w:rPr>
                <w:rFonts w:ascii="Times New Roman" w:hAnsi="Times New Roman" w:cs="Times New Roman"/>
              </w:rPr>
            </w:pPr>
            <w:r w:rsidRPr="00A1763C">
              <w:rPr>
                <w:rFonts w:ascii="Times New Roman" w:hAnsi="Times New Roman" w:cs="Times New Roman"/>
              </w:rPr>
              <w:t>Участие в инициативах по декарбонизации, социальная хартия, прозрачность взаимодействия с акционерами [13]</w:t>
            </w:r>
          </w:p>
        </w:tc>
        <w:tc>
          <w:tcPr>
            <w:tcW w:w="3021" w:type="dxa"/>
            <w:vAlign w:val="center"/>
          </w:tcPr>
          <w:p w14:paraId="6820013B" w14:textId="0B987FDC" w:rsidR="00391BB1" w:rsidRPr="00A1763C" w:rsidRDefault="00391BB1" w:rsidP="00A1763C">
            <w:pPr>
              <w:jc w:val="center"/>
              <w:rPr>
                <w:rFonts w:ascii="Times New Roman" w:hAnsi="Times New Roman" w:cs="Times New Roman"/>
              </w:rPr>
            </w:pPr>
            <w:r w:rsidRPr="00A1763C">
              <w:rPr>
                <w:rFonts w:ascii="Times New Roman" w:hAnsi="Times New Roman" w:cs="Times New Roman"/>
              </w:rPr>
              <w:t>Стабильная отчётность, отсутствие прорывных инноваций; ориентир на международные стандарты</w:t>
            </w:r>
          </w:p>
        </w:tc>
      </w:tr>
      <w:tr w:rsidR="00391BB1" w:rsidRPr="00A1763C" w14:paraId="54E9FBF2" w14:textId="77777777" w:rsidTr="00A1763C">
        <w:tc>
          <w:tcPr>
            <w:tcW w:w="3020" w:type="dxa"/>
            <w:vAlign w:val="center"/>
          </w:tcPr>
          <w:p w14:paraId="4D07EEFD" w14:textId="717967F9"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ПАО «Газпром»</w:t>
            </w:r>
          </w:p>
        </w:tc>
        <w:tc>
          <w:tcPr>
            <w:tcW w:w="3020" w:type="dxa"/>
            <w:vAlign w:val="center"/>
          </w:tcPr>
          <w:p w14:paraId="44682B23" w14:textId="5E31D992" w:rsidR="00391BB1" w:rsidRPr="00A1763C" w:rsidRDefault="00391BB1" w:rsidP="00A1763C">
            <w:pPr>
              <w:jc w:val="center"/>
              <w:rPr>
                <w:rFonts w:ascii="Times New Roman" w:hAnsi="Times New Roman" w:cs="Times New Roman"/>
              </w:rPr>
            </w:pPr>
            <w:r w:rsidRPr="00A1763C">
              <w:rPr>
                <w:rFonts w:ascii="Times New Roman" w:hAnsi="Times New Roman" w:cs="Times New Roman"/>
              </w:rPr>
              <w:t>Расходы на экологию 87,9 млрд руб., социальные – 52,3 млрд руб. (2024), управление климатическими рисками в Арктике [14]</w:t>
            </w:r>
          </w:p>
        </w:tc>
        <w:tc>
          <w:tcPr>
            <w:tcW w:w="3021" w:type="dxa"/>
            <w:vAlign w:val="center"/>
          </w:tcPr>
          <w:p w14:paraId="6B4BC5A3" w14:textId="1230F733" w:rsidR="00391BB1" w:rsidRPr="00A1763C" w:rsidRDefault="00391BB1" w:rsidP="00A1763C">
            <w:pPr>
              <w:jc w:val="center"/>
              <w:rPr>
                <w:rFonts w:ascii="Times New Roman" w:hAnsi="Times New Roman" w:cs="Times New Roman"/>
              </w:rPr>
            </w:pPr>
            <w:r w:rsidRPr="00A1763C">
              <w:rPr>
                <w:rFonts w:ascii="Times New Roman" w:hAnsi="Times New Roman" w:cs="Times New Roman"/>
              </w:rPr>
              <w:t>Раздельная отчётность перед государством и акционерами; ESG как инструмент управления рисками, а не рыночной дифференциации</w:t>
            </w:r>
          </w:p>
        </w:tc>
      </w:tr>
      <w:tr w:rsidR="00391BB1" w:rsidRPr="00A1763C" w14:paraId="4F76EE5B" w14:textId="77777777" w:rsidTr="00A1763C">
        <w:tc>
          <w:tcPr>
            <w:tcW w:w="3020" w:type="dxa"/>
            <w:vAlign w:val="center"/>
          </w:tcPr>
          <w:p w14:paraId="2F7344F6" w14:textId="6471A5D9"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ПАО «Татнефть»</w:t>
            </w:r>
          </w:p>
        </w:tc>
        <w:tc>
          <w:tcPr>
            <w:tcW w:w="3020" w:type="dxa"/>
            <w:vAlign w:val="center"/>
          </w:tcPr>
          <w:p w14:paraId="7429673B" w14:textId="11046A12" w:rsidR="00391BB1" w:rsidRPr="00A1763C" w:rsidRDefault="00391BB1" w:rsidP="00A1763C">
            <w:pPr>
              <w:jc w:val="center"/>
              <w:rPr>
                <w:rFonts w:ascii="Times New Roman" w:hAnsi="Times New Roman" w:cs="Times New Roman"/>
              </w:rPr>
            </w:pPr>
            <w:r w:rsidRPr="00A1763C">
              <w:rPr>
                <w:rFonts w:ascii="Times New Roman" w:hAnsi="Times New Roman" w:cs="Times New Roman"/>
              </w:rPr>
              <w:t>Более 40 климатических проектов, цель углеродной нейтральности к 2050 г., интегрированный отчёт – 5 звёзд RAEX [17]</w:t>
            </w:r>
          </w:p>
        </w:tc>
        <w:tc>
          <w:tcPr>
            <w:tcW w:w="3021" w:type="dxa"/>
            <w:vAlign w:val="center"/>
          </w:tcPr>
          <w:p w14:paraId="736A48C7" w14:textId="7EDE4959" w:rsidR="00391BB1" w:rsidRPr="00A1763C" w:rsidRDefault="00391BB1" w:rsidP="00A1763C">
            <w:pPr>
              <w:jc w:val="center"/>
              <w:rPr>
                <w:rFonts w:ascii="Times New Roman" w:hAnsi="Times New Roman" w:cs="Times New Roman"/>
              </w:rPr>
            </w:pPr>
            <w:r w:rsidRPr="00A1763C">
              <w:rPr>
                <w:rFonts w:ascii="Times New Roman" w:hAnsi="Times New Roman" w:cs="Times New Roman"/>
              </w:rPr>
              <w:t>Сбалансированное развитие, прозрачность корпоративного управления, постепенное улучшение экологических и социальных показателей</w:t>
            </w:r>
          </w:p>
        </w:tc>
      </w:tr>
    </w:tbl>
    <w:p w14:paraId="640C0C86" w14:textId="77777777" w:rsidR="00A1763C" w:rsidRDefault="00A1763C" w:rsidP="00A1763C">
      <w:pPr>
        <w:spacing w:line="288" w:lineRule="auto"/>
        <w:jc w:val="both"/>
        <w:rPr>
          <w:rFonts w:ascii="Times New Roman" w:hAnsi="Times New Roman" w:cs="Times New Roman"/>
        </w:rPr>
      </w:pPr>
    </w:p>
    <w:p w14:paraId="2F423EA2" w14:textId="0455A0F2" w:rsidR="00841B26" w:rsidRPr="00A1763C" w:rsidRDefault="00841B26" w:rsidP="00A1763C">
      <w:pPr>
        <w:spacing w:line="288" w:lineRule="auto"/>
        <w:ind w:firstLine="708"/>
        <w:jc w:val="both"/>
        <w:rPr>
          <w:rFonts w:ascii="Times New Roman" w:hAnsi="Times New Roman" w:cs="Times New Roman"/>
        </w:rPr>
      </w:pPr>
      <w:r w:rsidRPr="00A1763C">
        <w:rPr>
          <w:rFonts w:ascii="Times New Roman" w:hAnsi="Times New Roman" w:cs="Times New Roman"/>
        </w:rPr>
        <w:t>Лидером по глубине интеграции ESG является ПАО «</w:t>
      </w:r>
      <w:proofErr w:type="spellStart"/>
      <w:r w:rsidRPr="00A1763C">
        <w:rPr>
          <w:rFonts w:ascii="Times New Roman" w:hAnsi="Times New Roman" w:cs="Times New Roman"/>
        </w:rPr>
        <w:t>Сибур</w:t>
      </w:r>
      <w:proofErr w:type="spellEnd"/>
      <w:r w:rsidRPr="00A1763C">
        <w:rPr>
          <w:rFonts w:ascii="Times New Roman" w:hAnsi="Times New Roman" w:cs="Times New Roman"/>
        </w:rPr>
        <w:t xml:space="preserve"> Холдинг», где принципы устойчивого развития стали частью продукта и финансовой отчётности [9, 10]. </w:t>
      </w:r>
      <w:r w:rsidRPr="00A1763C">
        <w:rPr>
          <w:rFonts w:ascii="Times New Roman" w:hAnsi="Times New Roman" w:cs="Times New Roman"/>
        </w:rPr>
        <w:lastRenderedPageBreak/>
        <w:t>ПАО «Татнефть» демонстрирует наиболее сбалансированный подход, сочетая высокое качество управления с реальными действиями по снижению углеродного следа [17]. Для ПАО «Газпром» ESG-повестка преимущественно служит для управления физическими и переходными рисками, что отражает специфику газовой отрасли [14].</w:t>
      </w:r>
    </w:p>
    <w:p w14:paraId="2E437051" w14:textId="1B6995FC" w:rsidR="00116AF2" w:rsidRPr="00A1763C" w:rsidRDefault="00116AF2" w:rsidP="00A1763C">
      <w:pPr>
        <w:spacing w:line="288" w:lineRule="auto"/>
        <w:ind w:left="708"/>
        <w:jc w:val="both"/>
        <w:rPr>
          <w:rFonts w:ascii="Times New Roman" w:hAnsi="Times New Roman" w:cs="Times New Roman"/>
          <w:b/>
          <w:bCs/>
        </w:rPr>
      </w:pPr>
      <w:r w:rsidRPr="00A1763C">
        <w:rPr>
          <w:rFonts w:ascii="Times New Roman" w:hAnsi="Times New Roman" w:cs="Times New Roman"/>
          <w:b/>
          <w:bCs/>
        </w:rPr>
        <w:t>Дискуссия (</w:t>
      </w:r>
      <w:proofErr w:type="spellStart"/>
      <w:r w:rsidRPr="00A1763C">
        <w:rPr>
          <w:rFonts w:ascii="Times New Roman" w:hAnsi="Times New Roman" w:cs="Times New Roman"/>
          <w:b/>
          <w:bCs/>
        </w:rPr>
        <w:t>Discussion</w:t>
      </w:r>
      <w:proofErr w:type="spellEnd"/>
      <w:r w:rsidRPr="00A1763C">
        <w:rPr>
          <w:rFonts w:ascii="Times New Roman" w:hAnsi="Times New Roman" w:cs="Times New Roman"/>
          <w:b/>
          <w:bCs/>
        </w:rPr>
        <w:t>)</w:t>
      </w:r>
    </w:p>
    <w:p w14:paraId="51FD822C" w14:textId="3CABA2D0"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Полученные результаты подтверждают гипотезу о том, что успешная ESG-трансформация невозможна без синхронизации с операционным управлением. Компании, которые ограничиваются формальной нефинансовой отчётностью, не получают ощутимого экономического эффекта. Напротив, интеграция ESG-принципов в кросс-функциональные команды, системы реального времени и процессы управления маржинальностью позволяет превратить экологические и социальные требования в драйверы роста эффективности.</w:t>
      </w:r>
    </w:p>
    <w:p w14:paraId="2B550BCE" w14:textId="1D130424" w:rsidR="00841B26"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 xml:space="preserve">Сравнение с зарубежными практиками (кейс SOCAR </w:t>
      </w:r>
      <w:proofErr w:type="spellStart"/>
      <w:r w:rsidRPr="00A1763C">
        <w:rPr>
          <w:rFonts w:ascii="Times New Roman" w:hAnsi="Times New Roman" w:cs="Times New Roman"/>
        </w:rPr>
        <w:t>Türkiye</w:t>
      </w:r>
      <w:proofErr w:type="spellEnd"/>
      <w:r w:rsidRPr="00A1763C">
        <w:rPr>
          <w:rFonts w:ascii="Times New Roman" w:hAnsi="Times New Roman" w:cs="Times New Roman"/>
        </w:rPr>
        <w:t xml:space="preserve"> [15]) показывает, что российские компании находятся на сопоставимом уровне в части внедрения </w:t>
      </w:r>
      <w:proofErr w:type="spellStart"/>
      <w:r w:rsidRPr="00A1763C">
        <w:rPr>
          <w:rFonts w:ascii="Times New Roman" w:hAnsi="Times New Roman" w:cs="Times New Roman"/>
        </w:rPr>
        <w:t>Agile</w:t>
      </w:r>
      <w:proofErr w:type="spellEnd"/>
      <w:r w:rsidRPr="00A1763C">
        <w:rPr>
          <w:rFonts w:ascii="Times New Roman" w:hAnsi="Times New Roman" w:cs="Times New Roman"/>
        </w:rPr>
        <w:t>-подходов и цифровых двойников, однако отстают в степени раскрытия информации о связи между вознаграждением топ-менеджмента и ESG-результатами. Важным ограничением исследования является отсутствие унифицированной методики количественной оценки «ESG-эффективности», что требует дальнейших разработок в области отраслевых бенчмарков.</w:t>
      </w:r>
    </w:p>
    <w:p w14:paraId="640C856E" w14:textId="79BED053" w:rsidR="00116AF2" w:rsidRPr="00A1763C" w:rsidRDefault="00116AF2" w:rsidP="00A1763C">
      <w:pPr>
        <w:spacing w:line="288" w:lineRule="auto"/>
        <w:ind w:left="708"/>
        <w:jc w:val="both"/>
        <w:rPr>
          <w:rFonts w:ascii="Times New Roman" w:hAnsi="Times New Roman" w:cs="Times New Roman"/>
          <w:b/>
          <w:bCs/>
        </w:rPr>
      </w:pPr>
      <w:r w:rsidRPr="00A1763C">
        <w:rPr>
          <w:rFonts w:ascii="Times New Roman" w:hAnsi="Times New Roman" w:cs="Times New Roman"/>
          <w:b/>
          <w:bCs/>
        </w:rPr>
        <w:t>Заключение (</w:t>
      </w:r>
      <w:proofErr w:type="spellStart"/>
      <w:r w:rsidRPr="00A1763C">
        <w:rPr>
          <w:rFonts w:ascii="Times New Roman" w:hAnsi="Times New Roman" w:cs="Times New Roman"/>
          <w:b/>
          <w:bCs/>
        </w:rPr>
        <w:t>Conclusions</w:t>
      </w:r>
      <w:proofErr w:type="spellEnd"/>
      <w:r w:rsidRPr="00A1763C">
        <w:rPr>
          <w:rFonts w:ascii="Times New Roman" w:hAnsi="Times New Roman" w:cs="Times New Roman"/>
          <w:b/>
          <w:bCs/>
        </w:rPr>
        <w:t>)</w:t>
      </w:r>
    </w:p>
    <w:p w14:paraId="787A6789" w14:textId="77777777" w:rsidR="00841B26"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Проведённое исследование позволяет сформулировать следующие выводы:</w:t>
      </w:r>
    </w:p>
    <w:p w14:paraId="587C40DD" w14:textId="5DC8B952"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1. ESG-трансформация в российском нефтегазохимическом комплексе перешла от имитации тренда к фактору стратегической конкурентоспособности.</w:t>
      </w:r>
    </w:p>
    <w:p w14:paraId="31D15127" w14:textId="7777777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 xml:space="preserve">2. Наибольший экономический эффект достигается при интеграции ESG-принципов с современными управленческими практиками: </w:t>
      </w:r>
      <w:proofErr w:type="spellStart"/>
      <w:r w:rsidRPr="00A1763C">
        <w:rPr>
          <w:rFonts w:ascii="Times New Roman" w:hAnsi="Times New Roman" w:cs="Times New Roman"/>
        </w:rPr>
        <w:t>Agile</w:t>
      </w:r>
      <w:proofErr w:type="spellEnd"/>
      <w:r w:rsidRPr="00A1763C">
        <w:rPr>
          <w:rFonts w:ascii="Times New Roman" w:hAnsi="Times New Roman" w:cs="Times New Roman"/>
        </w:rPr>
        <w:t xml:space="preserve">-структурами, </w:t>
      </w:r>
      <w:proofErr w:type="spellStart"/>
      <w:r w:rsidRPr="00A1763C">
        <w:rPr>
          <w:rFonts w:ascii="Times New Roman" w:hAnsi="Times New Roman" w:cs="Times New Roman"/>
        </w:rPr>
        <w:t>Profit-driven</w:t>
      </w:r>
      <w:proofErr w:type="spellEnd"/>
      <w:r w:rsidRPr="00A1763C">
        <w:rPr>
          <w:rFonts w:ascii="Times New Roman" w:hAnsi="Times New Roman" w:cs="Times New Roman"/>
        </w:rPr>
        <w:t xml:space="preserve"> </w:t>
      </w:r>
      <w:proofErr w:type="spellStart"/>
      <w:r w:rsidRPr="00A1763C">
        <w:rPr>
          <w:rFonts w:ascii="Times New Roman" w:hAnsi="Times New Roman" w:cs="Times New Roman"/>
        </w:rPr>
        <w:t>Operation</w:t>
      </w:r>
      <w:proofErr w:type="spellEnd"/>
      <w:r w:rsidRPr="00A1763C">
        <w:rPr>
          <w:rFonts w:ascii="Times New Roman" w:hAnsi="Times New Roman" w:cs="Times New Roman"/>
        </w:rPr>
        <w:t xml:space="preserve"> и предотвращением потерь маржи, что даёт прирост EBITDA на 2–5% без существенных капитальных затрат.</w:t>
      </w:r>
    </w:p>
    <w:p w14:paraId="46230A1A" w14:textId="77777777" w:rsidR="00116AF2"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3. Среди рассмотренных компаний лидерами по глубине интеграции являются ПАО «</w:t>
      </w:r>
      <w:proofErr w:type="spellStart"/>
      <w:r w:rsidRPr="00A1763C">
        <w:rPr>
          <w:rFonts w:ascii="Times New Roman" w:hAnsi="Times New Roman" w:cs="Times New Roman"/>
        </w:rPr>
        <w:t>Сибур</w:t>
      </w:r>
      <w:proofErr w:type="spellEnd"/>
      <w:r w:rsidRPr="00A1763C">
        <w:rPr>
          <w:rFonts w:ascii="Times New Roman" w:hAnsi="Times New Roman" w:cs="Times New Roman"/>
        </w:rPr>
        <w:t xml:space="preserve"> Холдинг» (ESG как часть продукта) и ПАО «Татнефть» (сбалансированное развитие с высоким качеством управления).</w:t>
      </w:r>
    </w:p>
    <w:p w14:paraId="6B2BBE44" w14:textId="24E42C6B" w:rsidR="00841B26" w:rsidRPr="00A1763C" w:rsidRDefault="00116AF2" w:rsidP="00A1763C">
      <w:pPr>
        <w:spacing w:after="0" w:line="288" w:lineRule="auto"/>
        <w:ind w:firstLine="709"/>
        <w:jc w:val="both"/>
        <w:rPr>
          <w:rFonts w:ascii="Times New Roman" w:hAnsi="Times New Roman" w:cs="Times New Roman"/>
        </w:rPr>
      </w:pPr>
      <w:r w:rsidRPr="00A1763C">
        <w:rPr>
          <w:rFonts w:ascii="Times New Roman" w:hAnsi="Times New Roman" w:cs="Times New Roman"/>
        </w:rPr>
        <w:t>4. Перспективными направлениями развития отрасли следует считать стандартизацию методик оценки ESG-эффективности, внедрение сквозных цифровых платформ IT/OT и повышение прозрачности вознаграждения менеджмента в увязке с долгосрочными целями устойчивого развития.</w:t>
      </w:r>
    </w:p>
    <w:p w14:paraId="24BE8317" w14:textId="16BA9768" w:rsidR="00116AF2" w:rsidRPr="00A1763C" w:rsidRDefault="00116AF2" w:rsidP="00A1763C">
      <w:pPr>
        <w:spacing w:before="120" w:after="120" w:line="288" w:lineRule="auto"/>
        <w:ind w:left="709"/>
        <w:jc w:val="both"/>
        <w:rPr>
          <w:rFonts w:ascii="Times New Roman" w:hAnsi="Times New Roman" w:cs="Times New Roman"/>
          <w:b/>
          <w:bCs/>
        </w:rPr>
      </w:pPr>
      <w:r w:rsidRPr="00A1763C">
        <w:rPr>
          <w:rFonts w:ascii="Times New Roman" w:hAnsi="Times New Roman" w:cs="Times New Roman"/>
          <w:b/>
          <w:bCs/>
        </w:rPr>
        <w:t>Список литературы (</w:t>
      </w:r>
      <w:proofErr w:type="spellStart"/>
      <w:r w:rsidRPr="00A1763C">
        <w:rPr>
          <w:rFonts w:ascii="Times New Roman" w:hAnsi="Times New Roman" w:cs="Times New Roman"/>
          <w:b/>
          <w:bCs/>
        </w:rPr>
        <w:t>References</w:t>
      </w:r>
      <w:proofErr w:type="spellEnd"/>
      <w:r w:rsidRPr="00A1763C">
        <w:rPr>
          <w:rFonts w:ascii="Times New Roman" w:hAnsi="Times New Roman" w:cs="Times New Roman"/>
          <w:b/>
          <w:bCs/>
        </w:rPr>
        <w:t>)</w:t>
      </w:r>
    </w:p>
    <w:p w14:paraId="3BB7D003"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 xml:space="preserve">1. </w:t>
      </w:r>
      <w:proofErr w:type="spellStart"/>
      <w:r w:rsidRPr="00A1763C">
        <w:rPr>
          <w:rFonts w:ascii="Times New Roman" w:hAnsi="Times New Roman" w:cs="Times New Roman"/>
        </w:rPr>
        <w:t>Водолажская</w:t>
      </w:r>
      <w:proofErr w:type="spellEnd"/>
      <w:r w:rsidRPr="00A1763C">
        <w:rPr>
          <w:rFonts w:ascii="Times New Roman" w:hAnsi="Times New Roman" w:cs="Times New Roman"/>
        </w:rPr>
        <w:t xml:space="preserve"> Е.Л. Причины возникновения экономических кризисов и их характеристика // Вестник Казанского технологического университета. 2013. Т. 8. № 8.</w:t>
      </w:r>
    </w:p>
    <w:p w14:paraId="15B3E7F2"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2. Гаврилова В.Д. Содержание ESG-повестки и устойчивого развития // Международный журнал гуманитарных и естественных наук. 2024. Т. 3-2(90). DOI: 10.24412/2500-1000-2024-3-2-19-21.</w:t>
      </w:r>
    </w:p>
    <w:p w14:paraId="31D5F520" w14:textId="77777777" w:rsidR="00116AF2" w:rsidRPr="00A1763C" w:rsidRDefault="00116AF2" w:rsidP="00A1763C">
      <w:pPr>
        <w:spacing w:after="0" w:line="288" w:lineRule="auto"/>
        <w:jc w:val="both"/>
        <w:rPr>
          <w:rFonts w:ascii="Times New Roman" w:hAnsi="Times New Roman" w:cs="Times New Roman"/>
          <w:lang w:val="en-US"/>
        </w:rPr>
      </w:pPr>
      <w:r w:rsidRPr="00A1763C">
        <w:rPr>
          <w:rFonts w:ascii="Times New Roman" w:hAnsi="Times New Roman" w:cs="Times New Roman"/>
        </w:rPr>
        <w:lastRenderedPageBreak/>
        <w:t xml:space="preserve">3. Мухаммад С., Калашникова И.В. Внедрение ESG-повестки в деятельность компаний // Вестник ТОГУ. 2025. </w:t>
      </w:r>
      <w:r w:rsidRPr="00A1763C">
        <w:rPr>
          <w:rFonts w:ascii="Times New Roman" w:hAnsi="Times New Roman" w:cs="Times New Roman"/>
          <w:lang w:val="en-US"/>
        </w:rPr>
        <w:t>№ 3(78). DOI: 10.38161/1996-3440-2025-3-131-140.</w:t>
      </w:r>
    </w:p>
    <w:p w14:paraId="782987AA"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lang w:val="en-US"/>
        </w:rPr>
        <w:t xml:space="preserve">4. </w:t>
      </w:r>
      <w:proofErr w:type="spellStart"/>
      <w:r w:rsidRPr="00A1763C">
        <w:rPr>
          <w:rFonts w:ascii="Times New Roman" w:hAnsi="Times New Roman" w:cs="Times New Roman"/>
          <w:lang w:val="en-US"/>
        </w:rPr>
        <w:t>Savi</w:t>
      </w:r>
      <w:proofErr w:type="spellEnd"/>
      <w:r w:rsidRPr="00A1763C">
        <w:rPr>
          <w:rFonts w:ascii="Times New Roman" w:hAnsi="Times New Roman" w:cs="Times New Roman"/>
          <w:lang w:val="en-US"/>
        </w:rPr>
        <w:t xml:space="preserve"> A., </w:t>
      </w:r>
      <w:proofErr w:type="spellStart"/>
      <w:r w:rsidRPr="00A1763C">
        <w:rPr>
          <w:rFonts w:ascii="Times New Roman" w:hAnsi="Times New Roman" w:cs="Times New Roman"/>
          <w:lang w:val="en-US"/>
        </w:rPr>
        <w:t>Ostrovnaya</w:t>
      </w:r>
      <w:proofErr w:type="spellEnd"/>
      <w:r w:rsidRPr="00A1763C">
        <w:rPr>
          <w:rFonts w:ascii="Times New Roman" w:hAnsi="Times New Roman" w:cs="Times New Roman"/>
          <w:lang w:val="en-US"/>
        </w:rPr>
        <w:t xml:space="preserve"> A. ESG Regulatory Framework for Asset Managers in the EU, UK, US, and Singapore // U. Pa. J. Bus. L. 2025. </w:t>
      </w:r>
      <w:proofErr w:type="spellStart"/>
      <w:r w:rsidRPr="00A1763C">
        <w:rPr>
          <w:rFonts w:ascii="Times New Roman" w:hAnsi="Times New Roman" w:cs="Times New Roman"/>
        </w:rPr>
        <w:t>Vol</w:t>
      </w:r>
      <w:proofErr w:type="spellEnd"/>
      <w:r w:rsidRPr="00A1763C">
        <w:rPr>
          <w:rFonts w:ascii="Times New Roman" w:hAnsi="Times New Roman" w:cs="Times New Roman"/>
        </w:rPr>
        <w:t xml:space="preserve">. 27. </w:t>
      </w:r>
      <w:proofErr w:type="spellStart"/>
      <w:r w:rsidRPr="00A1763C">
        <w:rPr>
          <w:rFonts w:ascii="Times New Roman" w:hAnsi="Times New Roman" w:cs="Times New Roman"/>
        </w:rPr>
        <w:t>Iss</w:t>
      </w:r>
      <w:proofErr w:type="spellEnd"/>
      <w:r w:rsidRPr="00A1763C">
        <w:rPr>
          <w:rFonts w:ascii="Times New Roman" w:hAnsi="Times New Roman" w:cs="Times New Roman"/>
        </w:rPr>
        <w:t>. 1. P. 172. DOI: 10.58112/jbl.27-1.4.</w:t>
      </w:r>
    </w:p>
    <w:p w14:paraId="6C468A0E"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5. Зеленая энергетика Газпром [Электронный ресурс]. URL: https://onpz.gazprom-neft.ru/press-center/news/zelenaya-energetika-gazprom-neft-v-20-raz-uvelichila-proizvodstvo-solnechnoy-elektroenergii-na-omsko (дата обращения: 20.03.2026).</w:t>
      </w:r>
    </w:p>
    <w:p w14:paraId="692B1A51"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6. Каримова К.С. ESG как инструмент снижения естественного климата: экономико-социологический подход // Вестник экономики и права социологии. 2025. № 4. DOI: 10.24412/1998-5533-2025-3-50-53.</w:t>
      </w:r>
    </w:p>
    <w:p w14:paraId="359D9089"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7. Грошев И.В., Гололобова Т.М. Инструменты менеджмента по внедрению ESG-принципов в промышленной компании // Управление. 2024. Т. 12. № 4. С. 13–22. DOI: 10.26425/2309-3633-2024-12-4-13-22.</w:t>
      </w:r>
    </w:p>
    <w:p w14:paraId="78BE9BF3"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8. Распоряжение Правительства РФ от 16.05.2023 № 1241-р «О плане мероприятий ("дорожная карта") по развитию нефтегазохимического комплекса Российской Федерации на период до 2025 года». URL: http://static.government.ru/media/files/EpUA4Wa2yNPdyylURfJL3g2zJyViArs8.pdf</w:t>
      </w:r>
    </w:p>
    <w:p w14:paraId="4371C4B8"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 xml:space="preserve">9. Интегрированный отчет за 2024 год </w:t>
      </w:r>
      <w:proofErr w:type="spellStart"/>
      <w:r w:rsidRPr="00A1763C">
        <w:rPr>
          <w:rFonts w:ascii="Times New Roman" w:hAnsi="Times New Roman" w:cs="Times New Roman"/>
        </w:rPr>
        <w:t>СИБУРа</w:t>
      </w:r>
      <w:proofErr w:type="spellEnd"/>
      <w:r w:rsidRPr="00A1763C">
        <w:rPr>
          <w:rFonts w:ascii="Times New Roman" w:hAnsi="Times New Roman" w:cs="Times New Roman"/>
        </w:rPr>
        <w:t>. URL: https://www.sibur.ru/ru/sustainability/social_report/ (дата обращения: 20.03.2026).</w:t>
      </w:r>
    </w:p>
    <w:p w14:paraId="7E94A207"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 xml:space="preserve">10. Рейтинговое агентство AK&amp;M подтвердило </w:t>
      </w:r>
      <w:proofErr w:type="spellStart"/>
      <w:r w:rsidRPr="00A1763C">
        <w:rPr>
          <w:rFonts w:ascii="Times New Roman" w:hAnsi="Times New Roman" w:cs="Times New Roman"/>
        </w:rPr>
        <w:t>СИБУРу</w:t>
      </w:r>
      <w:proofErr w:type="spellEnd"/>
      <w:r w:rsidRPr="00A1763C">
        <w:rPr>
          <w:rFonts w:ascii="Times New Roman" w:hAnsi="Times New Roman" w:cs="Times New Roman"/>
        </w:rPr>
        <w:t xml:space="preserve"> высший рейтинг нефинансовой отчетности. URL: https://akmrating.ru/pressrelizy2/2025/reiting_otchetnosty_sberbank_jfru_uwqe_zccy_dxrj/ (дата обращения: 20.03.2026).</w:t>
      </w:r>
    </w:p>
    <w:p w14:paraId="2718E8EC"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11. Устойчивое развитие Роснефти. URL: https://expert.ru/news/rosneft-podtverdila-liderstvo-v-oblasti-ustoychivogo-razvitiya/ (дата обращения: 20.03.2026).</w:t>
      </w:r>
    </w:p>
    <w:p w14:paraId="01AC5B50"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12. Роснефть в ESG-рейтинге. URL: https://ecology.russia24.pro/421120698/ (дата обращения: 20.03.2026).</w:t>
      </w:r>
    </w:p>
    <w:p w14:paraId="4C37BAAB"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13. Отчет об устойчивом развитии ПАО «ЛУКОЙЛ». URL: https://lukoil.ru/Sustainability/SustainabilityReport (дата обращения: 20.03.2026).</w:t>
      </w:r>
    </w:p>
    <w:p w14:paraId="11010B37"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14. Отчет о социальной деятельности группы ГАЗПРОМ. URL: https://sustainability.gazpromreport.ru/fileadmin/f/2024/gazprom-sustainability-report-2024-ru.pdf (дата обращения: 20.03.2026).</w:t>
      </w:r>
    </w:p>
    <w:p w14:paraId="70180655"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lang w:val="en-US"/>
        </w:rPr>
        <w:t xml:space="preserve">15. McKinsey &amp; Company. Agile in heavy industries: The case of SOCAR </w:t>
      </w:r>
      <w:proofErr w:type="spellStart"/>
      <w:r w:rsidRPr="00A1763C">
        <w:rPr>
          <w:rFonts w:ascii="Times New Roman" w:hAnsi="Times New Roman" w:cs="Times New Roman"/>
          <w:lang w:val="en-US"/>
        </w:rPr>
        <w:t>Türkiye</w:t>
      </w:r>
      <w:proofErr w:type="spellEnd"/>
      <w:r w:rsidRPr="00A1763C">
        <w:rPr>
          <w:rFonts w:ascii="Times New Roman" w:hAnsi="Times New Roman" w:cs="Times New Roman"/>
          <w:lang w:val="en-US"/>
        </w:rPr>
        <w:t xml:space="preserve">. </w:t>
      </w:r>
      <w:r w:rsidRPr="00A1763C">
        <w:rPr>
          <w:rFonts w:ascii="Times New Roman" w:hAnsi="Times New Roman" w:cs="Times New Roman"/>
        </w:rPr>
        <w:t>2023. URL: https://www.mckinsey.com/capabilities/people-and-organizational-performance/our-insights/agile-in-heavy-industries-the-case-of-socar-turkiye (дата обращения: 20.03.2026).</w:t>
      </w:r>
    </w:p>
    <w:p w14:paraId="64B7E469"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lang w:val="en-US"/>
        </w:rPr>
        <w:t xml:space="preserve">16. Yokogawa. Profit-driven Operation: Bridging the Gap Between Planning and Execution. </w:t>
      </w:r>
      <w:r w:rsidRPr="00A1763C">
        <w:rPr>
          <w:rFonts w:ascii="Times New Roman" w:hAnsi="Times New Roman" w:cs="Times New Roman"/>
        </w:rPr>
        <w:t>White Paper, 2024. URL: https://www.yokogawa.com/library/ (дата обращения: 20.03.2026).</w:t>
      </w:r>
    </w:p>
    <w:p w14:paraId="7DC281F5"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t>17. Отчет об устойчивом развитии Татнефти. URL: https://www.tatneft.ru/aktsioneram-i-investoram/raskritie-informatsii/godovie-otcheti (дата обращения: 20.03.2026).</w:t>
      </w:r>
    </w:p>
    <w:p w14:paraId="2A0090D6" w14:textId="77777777" w:rsidR="00116AF2" w:rsidRPr="00A1763C" w:rsidRDefault="00116AF2" w:rsidP="00A1763C">
      <w:pPr>
        <w:spacing w:after="0" w:line="288" w:lineRule="auto"/>
        <w:jc w:val="both"/>
        <w:rPr>
          <w:rFonts w:ascii="Times New Roman" w:hAnsi="Times New Roman" w:cs="Times New Roman"/>
          <w:lang w:val="en-US"/>
        </w:rPr>
      </w:pPr>
      <w:r w:rsidRPr="00A1763C">
        <w:rPr>
          <w:rFonts w:ascii="Times New Roman" w:hAnsi="Times New Roman" w:cs="Times New Roman"/>
          <w:lang w:val="en-US"/>
        </w:rPr>
        <w:t>18. Becht Engineering. Maximizing Refinery Margins: A Practical Guide to Leakage Prevention. Conference materials, Asian Downstream Summit, 2023. URL: https://www.downstreamasia.com/ (</w:t>
      </w:r>
      <w:r w:rsidRPr="00A1763C">
        <w:rPr>
          <w:rFonts w:ascii="Times New Roman" w:hAnsi="Times New Roman" w:cs="Times New Roman"/>
        </w:rPr>
        <w:t>дата</w:t>
      </w:r>
      <w:r w:rsidRPr="00A1763C">
        <w:rPr>
          <w:rFonts w:ascii="Times New Roman" w:hAnsi="Times New Roman" w:cs="Times New Roman"/>
          <w:lang w:val="en-US"/>
        </w:rPr>
        <w:t xml:space="preserve"> </w:t>
      </w:r>
      <w:r w:rsidRPr="00A1763C">
        <w:rPr>
          <w:rFonts w:ascii="Times New Roman" w:hAnsi="Times New Roman" w:cs="Times New Roman"/>
        </w:rPr>
        <w:t>обращения</w:t>
      </w:r>
      <w:r w:rsidRPr="00A1763C">
        <w:rPr>
          <w:rFonts w:ascii="Times New Roman" w:hAnsi="Times New Roman" w:cs="Times New Roman"/>
          <w:lang w:val="en-US"/>
        </w:rPr>
        <w:t>: 20.03.2026).</w:t>
      </w:r>
    </w:p>
    <w:p w14:paraId="72C12CE4" w14:textId="77777777" w:rsidR="00116AF2" w:rsidRPr="00A1763C" w:rsidRDefault="00116AF2" w:rsidP="00A1763C">
      <w:pPr>
        <w:spacing w:after="0" w:line="288" w:lineRule="auto"/>
        <w:jc w:val="both"/>
        <w:rPr>
          <w:rFonts w:ascii="Times New Roman" w:hAnsi="Times New Roman" w:cs="Times New Roman"/>
        </w:rPr>
      </w:pPr>
      <w:r w:rsidRPr="00A1763C">
        <w:rPr>
          <w:rFonts w:ascii="Times New Roman" w:hAnsi="Times New Roman" w:cs="Times New Roman"/>
        </w:rPr>
        <w:lastRenderedPageBreak/>
        <w:t>19. Капранова Л.Д., Полищук О.А. ESG-трансформация как парадигма устойчивого развития экономики России // Вестник евразийской науки. 2023. Т. 15. № 3. URL: https://esj.today/PDF/18ECVN323.pdf (дата обращения: 20.03.2026).</w:t>
      </w:r>
    </w:p>
    <w:p w14:paraId="63619DB8" w14:textId="77E42E25" w:rsidR="00505784" w:rsidRPr="00A1763C" w:rsidRDefault="00116AF2" w:rsidP="00A1763C">
      <w:pPr>
        <w:spacing w:after="0" w:line="288" w:lineRule="auto"/>
        <w:jc w:val="both"/>
        <w:rPr>
          <w:rFonts w:ascii="Times New Roman" w:hAnsi="Times New Roman" w:cs="Times New Roman"/>
          <w:lang w:val="en-US"/>
        </w:rPr>
      </w:pPr>
      <w:r w:rsidRPr="00A1763C">
        <w:rPr>
          <w:rFonts w:ascii="Times New Roman" w:hAnsi="Times New Roman" w:cs="Times New Roman"/>
          <w:lang w:val="en-US"/>
        </w:rPr>
        <w:t xml:space="preserve">20. </w:t>
      </w:r>
      <w:proofErr w:type="spellStart"/>
      <w:r w:rsidRPr="00A1763C">
        <w:rPr>
          <w:rFonts w:ascii="Times New Roman" w:hAnsi="Times New Roman" w:cs="Times New Roman"/>
          <w:lang w:val="en-US"/>
        </w:rPr>
        <w:t>Axens</w:t>
      </w:r>
      <w:proofErr w:type="spellEnd"/>
      <w:r w:rsidRPr="00A1763C">
        <w:rPr>
          <w:rFonts w:ascii="Times New Roman" w:hAnsi="Times New Roman" w:cs="Times New Roman"/>
          <w:lang w:val="en-US"/>
        </w:rPr>
        <w:t>. Margin Recovery in Refining and Petrochemicals: Identifying and Capturing Hidden Value. Technical Bulletin, 2023. URL: https://www.axens.net/resources/document-library (</w:t>
      </w:r>
      <w:r w:rsidRPr="00A1763C">
        <w:rPr>
          <w:rFonts w:ascii="Times New Roman" w:hAnsi="Times New Roman" w:cs="Times New Roman"/>
        </w:rPr>
        <w:t>дата</w:t>
      </w:r>
      <w:r w:rsidRPr="00A1763C">
        <w:rPr>
          <w:rFonts w:ascii="Times New Roman" w:hAnsi="Times New Roman" w:cs="Times New Roman"/>
          <w:lang w:val="en-US"/>
        </w:rPr>
        <w:t xml:space="preserve"> </w:t>
      </w:r>
      <w:r w:rsidRPr="00A1763C">
        <w:rPr>
          <w:rFonts w:ascii="Times New Roman" w:hAnsi="Times New Roman" w:cs="Times New Roman"/>
        </w:rPr>
        <w:t>обращения</w:t>
      </w:r>
      <w:r w:rsidRPr="00A1763C">
        <w:rPr>
          <w:rFonts w:ascii="Times New Roman" w:hAnsi="Times New Roman" w:cs="Times New Roman"/>
          <w:lang w:val="en-US"/>
        </w:rPr>
        <w:t>: 20.03.2026).</w:t>
      </w:r>
    </w:p>
    <w:sectPr w:rsidR="00505784" w:rsidRPr="00A1763C" w:rsidSect="00BF510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CC"/>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F2"/>
    <w:rsid w:val="00116AF2"/>
    <w:rsid w:val="00171A73"/>
    <w:rsid w:val="00391BB1"/>
    <w:rsid w:val="003D27F9"/>
    <w:rsid w:val="004919E3"/>
    <w:rsid w:val="004B0DC8"/>
    <w:rsid w:val="00505784"/>
    <w:rsid w:val="007D0746"/>
    <w:rsid w:val="00841B26"/>
    <w:rsid w:val="008E21E9"/>
    <w:rsid w:val="00A1763C"/>
    <w:rsid w:val="00BF510F"/>
    <w:rsid w:val="00C4174A"/>
    <w:rsid w:val="00CA4A1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88FA"/>
  <w15:chartTrackingRefBased/>
  <w15:docId w15:val="{11575DBC-28F2-4D0D-80CD-D4BD0E34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6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6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6A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6A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6A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6A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A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A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A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A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6A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6A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6A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6A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6A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AF2"/>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A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AF2"/>
    <w:rPr>
      <w:rFonts w:eastAsiaTheme="majorEastAsia" w:cstheme="majorBidi"/>
      <w:color w:val="272727" w:themeColor="text1" w:themeTint="D8"/>
    </w:rPr>
  </w:style>
  <w:style w:type="paragraph" w:styleId="a3">
    <w:name w:val="Title"/>
    <w:basedOn w:val="a"/>
    <w:next w:val="a"/>
    <w:link w:val="a4"/>
    <w:uiPriority w:val="10"/>
    <w:qFormat/>
    <w:rsid w:val="0011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6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A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6A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6AF2"/>
    <w:pPr>
      <w:spacing w:before="160"/>
      <w:jc w:val="center"/>
    </w:pPr>
    <w:rPr>
      <w:i/>
      <w:iCs/>
      <w:color w:val="404040" w:themeColor="text1" w:themeTint="BF"/>
    </w:rPr>
  </w:style>
  <w:style w:type="character" w:customStyle="1" w:styleId="22">
    <w:name w:val="Цитата 2 Знак"/>
    <w:basedOn w:val="a0"/>
    <w:link w:val="21"/>
    <w:uiPriority w:val="29"/>
    <w:rsid w:val="00116AF2"/>
    <w:rPr>
      <w:i/>
      <w:iCs/>
      <w:color w:val="404040" w:themeColor="text1" w:themeTint="BF"/>
    </w:rPr>
  </w:style>
  <w:style w:type="paragraph" w:styleId="a7">
    <w:name w:val="List Paragraph"/>
    <w:basedOn w:val="a"/>
    <w:uiPriority w:val="34"/>
    <w:qFormat/>
    <w:rsid w:val="00116AF2"/>
    <w:pPr>
      <w:ind w:left="720"/>
      <w:contextualSpacing/>
    </w:pPr>
  </w:style>
  <w:style w:type="character" w:styleId="a8">
    <w:name w:val="Intense Emphasis"/>
    <w:basedOn w:val="a0"/>
    <w:uiPriority w:val="21"/>
    <w:qFormat/>
    <w:rsid w:val="00116AF2"/>
    <w:rPr>
      <w:i/>
      <w:iCs/>
      <w:color w:val="2F5496" w:themeColor="accent1" w:themeShade="BF"/>
    </w:rPr>
  </w:style>
  <w:style w:type="paragraph" w:styleId="a9">
    <w:name w:val="Intense Quote"/>
    <w:basedOn w:val="a"/>
    <w:next w:val="a"/>
    <w:link w:val="aa"/>
    <w:uiPriority w:val="30"/>
    <w:qFormat/>
    <w:rsid w:val="00116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6AF2"/>
    <w:rPr>
      <w:i/>
      <w:iCs/>
      <w:color w:val="2F5496" w:themeColor="accent1" w:themeShade="BF"/>
    </w:rPr>
  </w:style>
  <w:style w:type="character" w:styleId="ab">
    <w:name w:val="Intense Reference"/>
    <w:basedOn w:val="a0"/>
    <w:uiPriority w:val="32"/>
    <w:qFormat/>
    <w:rsid w:val="00116AF2"/>
    <w:rPr>
      <w:b/>
      <w:bCs/>
      <w:smallCaps/>
      <w:color w:val="2F5496" w:themeColor="accent1" w:themeShade="BF"/>
      <w:spacing w:val="5"/>
    </w:rPr>
  </w:style>
  <w:style w:type="table" w:styleId="ac">
    <w:name w:val="Table Grid"/>
    <w:basedOn w:val="a1"/>
    <w:uiPriority w:val="39"/>
    <w:rsid w:val="0039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4174A"/>
    <w:rPr>
      <w:color w:val="0000FF"/>
      <w:u w:val="single"/>
    </w:rPr>
  </w:style>
  <w:style w:type="character" w:styleId="ae">
    <w:name w:val="Unresolved Mention"/>
    <w:basedOn w:val="a0"/>
    <w:uiPriority w:val="99"/>
    <w:semiHidden/>
    <w:unhideWhenUsed/>
    <w:rsid w:val="0017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ina@mail.ru%204" TargetMode="External"/><Relationship Id="rId3" Type="http://schemas.openxmlformats.org/officeDocument/2006/relationships/settings" Target="settings.xml"/><Relationship Id="rId7" Type="http://schemas.openxmlformats.org/officeDocument/2006/relationships/hyperlink" Target="mailto:steavi0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ruktovenko9999@gmail.com" TargetMode="External"/><Relationship Id="rId5" Type="http://schemas.openxmlformats.org/officeDocument/2006/relationships/hyperlink" Target="mailto:avhadievaelina9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2006-F797-4E3B-8C71-B64CB9FD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сигал</dc:creator>
  <cp:keywords/>
  <dc:description/>
  <cp:lastModifiedBy>Александр baima</cp:lastModifiedBy>
  <cp:revision>2</cp:revision>
  <dcterms:created xsi:type="dcterms:W3CDTF">2026-03-26T18:51:00Z</dcterms:created>
  <dcterms:modified xsi:type="dcterms:W3CDTF">2026-03-26T18:51:00Z</dcterms:modified>
</cp:coreProperties>
</file>