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BC68" w14:textId="5EE13698" w:rsidR="0005379F" w:rsidRPr="0005379F" w:rsidRDefault="0005379F" w:rsidP="0005379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УДК 343.56</w:t>
      </w:r>
    </w:p>
    <w:p w14:paraId="1FD51045" w14:textId="472B36BF" w:rsidR="00242BCA" w:rsidRPr="006905BD" w:rsidRDefault="00242BCA" w:rsidP="00260A0E">
      <w:pPr>
        <w:spacing w:after="0" w:line="240" w:lineRule="auto"/>
        <w:jc w:val="center"/>
        <w:rPr>
          <w:rFonts w:ascii="Times New Roman" w:hAnsi="Times New Roman" w:cs="Times New Roman"/>
          <w:sz w:val="28"/>
          <w:szCs w:val="28"/>
        </w:rPr>
      </w:pPr>
      <w:bookmarkStart w:id="0" w:name="_GoBack"/>
      <w:proofErr w:type="spellStart"/>
      <w:r w:rsidRPr="006905BD">
        <w:rPr>
          <w:rFonts w:ascii="Times New Roman" w:hAnsi="Times New Roman" w:cs="Times New Roman"/>
          <w:b/>
          <w:sz w:val="28"/>
          <w:szCs w:val="28"/>
        </w:rPr>
        <w:t>Толеубекова</w:t>
      </w:r>
      <w:proofErr w:type="spellEnd"/>
      <w:r w:rsidRPr="006905BD">
        <w:rPr>
          <w:rFonts w:ascii="Times New Roman" w:hAnsi="Times New Roman" w:cs="Times New Roman"/>
          <w:b/>
          <w:sz w:val="28"/>
          <w:szCs w:val="28"/>
        </w:rPr>
        <w:t xml:space="preserve"> Б</w:t>
      </w:r>
      <w:r w:rsidR="007F0630">
        <w:rPr>
          <w:rFonts w:ascii="Times New Roman" w:hAnsi="Times New Roman" w:cs="Times New Roman"/>
          <w:b/>
          <w:sz w:val="28"/>
          <w:szCs w:val="28"/>
          <w:lang w:val="kk-KZ"/>
        </w:rPr>
        <w:t>.</w:t>
      </w:r>
      <w:r w:rsidRPr="006905BD">
        <w:rPr>
          <w:rFonts w:ascii="Times New Roman" w:hAnsi="Times New Roman" w:cs="Times New Roman"/>
          <w:b/>
          <w:sz w:val="28"/>
          <w:szCs w:val="28"/>
        </w:rPr>
        <w:t>Х</w:t>
      </w:r>
      <w:r w:rsidR="007F0630">
        <w:rPr>
          <w:rFonts w:ascii="Times New Roman" w:hAnsi="Times New Roman" w:cs="Times New Roman"/>
          <w:b/>
          <w:sz w:val="28"/>
          <w:szCs w:val="28"/>
          <w:lang w:val="kk-KZ"/>
        </w:rPr>
        <w:t>.</w:t>
      </w:r>
      <w:r w:rsidRPr="006905BD">
        <w:rPr>
          <w:rFonts w:ascii="Times New Roman" w:hAnsi="Times New Roman" w:cs="Times New Roman"/>
          <w:b/>
          <w:sz w:val="28"/>
          <w:szCs w:val="28"/>
        </w:rPr>
        <w:t xml:space="preserve"> </w:t>
      </w:r>
    </w:p>
    <w:p w14:paraId="48AA89C2" w14:textId="1FDA55A9" w:rsidR="00242BCA" w:rsidRPr="006905BD" w:rsidRDefault="00242BCA" w:rsidP="00260A0E">
      <w:pPr>
        <w:spacing w:after="0" w:line="240" w:lineRule="auto"/>
        <w:jc w:val="center"/>
        <w:rPr>
          <w:rFonts w:ascii="Times New Roman" w:hAnsi="Times New Roman" w:cs="Times New Roman"/>
          <w:i/>
          <w:sz w:val="28"/>
          <w:szCs w:val="28"/>
          <w:lang w:val="kk-KZ"/>
        </w:rPr>
      </w:pPr>
      <w:r w:rsidRPr="006905BD">
        <w:rPr>
          <w:rFonts w:ascii="Times New Roman" w:hAnsi="Times New Roman" w:cs="Times New Roman"/>
          <w:i/>
          <w:sz w:val="28"/>
          <w:szCs w:val="28"/>
        </w:rPr>
        <w:t>профессор кафедры</w:t>
      </w:r>
      <w:r w:rsidRPr="006905BD">
        <w:rPr>
          <w:rFonts w:ascii="Times New Roman" w:hAnsi="Times New Roman" w:cs="Times New Roman"/>
          <w:i/>
          <w:sz w:val="28"/>
          <w:szCs w:val="28"/>
          <w:lang w:val="kk-KZ"/>
        </w:rPr>
        <w:t xml:space="preserve"> </w:t>
      </w:r>
      <w:r w:rsidRPr="006905BD">
        <w:rPr>
          <w:rFonts w:ascii="Times New Roman" w:hAnsi="Times New Roman" w:cs="Times New Roman"/>
          <w:i/>
          <w:sz w:val="28"/>
          <w:szCs w:val="28"/>
        </w:rPr>
        <w:t xml:space="preserve">юриспруденции </w:t>
      </w:r>
      <w:proofErr w:type="spellStart"/>
      <w:r w:rsidRPr="006905BD">
        <w:rPr>
          <w:rFonts w:ascii="Times New Roman" w:hAnsi="Times New Roman" w:cs="Times New Roman"/>
          <w:i/>
          <w:sz w:val="28"/>
          <w:szCs w:val="28"/>
        </w:rPr>
        <w:t>КазНПУ</w:t>
      </w:r>
      <w:proofErr w:type="spellEnd"/>
      <w:r w:rsidRPr="006905BD">
        <w:rPr>
          <w:rFonts w:ascii="Times New Roman" w:hAnsi="Times New Roman" w:cs="Times New Roman"/>
          <w:i/>
          <w:sz w:val="28"/>
          <w:szCs w:val="28"/>
        </w:rPr>
        <w:t xml:space="preserve"> им. Абая,</w:t>
      </w:r>
      <w:r w:rsidR="00260A0E">
        <w:rPr>
          <w:rFonts w:ascii="Times New Roman" w:hAnsi="Times New Roman" w:cs="Times New Roman"/>
          <w:i/>
          <w:sz w:val="28"/>
          <w:szCs w:val="28"/>
          <w:lang w:val="kk-KZ"/>
        </w:rPr>
        <w:t xml:space="preserve"> </w:t>
      </w:r>
      <w:r w:rsidRPr="006905BD">
        <w:rPr>
          <w:rFonts w:ascii="Times New Roman" w:hAnsi="Times New Roman" w:cs="Times New Roman"/>
          <w:i/>
          <w:sz w:val="28"/>
          <w:szCs w:val="28"/>
        </w:rPr>
        <w:t>доктор юридических наук, профессор</w:t>
      </w:r>
      <w:r w:rsidR="007F0630">
        <w:rPr>
          <w:rFonts w:ascii="Times New Roman" w:hAnsi="Times New Roman" w:cs="Times New Roman"/>
          <w:i/>
          <w:sz w:val="28"/>
          <w:szCs w:val="28"/>
          <w:lang w:val="kk-KZ"/>
        </w:rPr>
        <w:t xml:space="preserve"> </w:t>
      </w:r>
      <w:r w:rsidRPr="006905BD">
        <w:rPr>
          <w:rFonts w:ascii="Times New Roman" w:hAnsi="Times New Roman" w:cs="Times New Roman"/>
          <w:sz w:val="28"/>
          <w:szCs w:val="28"/>
          <w:lang w:val="en-US"/>
        </w:rPr>
        <w:t>e</w:t>
      </w:r>
      <w:r w:rsidRPr="007F0630">
        <w:rPr>
          <w:rFonts w:ascii="Times New Roman" w:hAnsi="Times New Roman" w:cs="Times New Roman"/>
          <w:sz w:val="28"/>
          <w:szCs w:val="28"/>
        </w:rPr>
        <w:t>-</w:t>
      </w:r>
      <w:r w:rsidRPr="006905BD">
        <w:rPr>
          <w:rFonts w:ascii="Times New Roman" w:hAnsi="Times New Roman" w:cs="Times New Roman"/>
          <w:sz w:val="28"/>
          <w:szCs w:val="28"/>
          <w:lang w:val="en-US"/>
        </w:rPr>
        <w:t>mail</w:t>
      </w:r>
      <w:r w:rsidRPr="007F0630">
        <w:rPr>
          <w:rFonts w:ascii="Times New Roman" w:hAnsi="Times New Roman" w:cs="Times New Roman"/>
          <w:sz w:val="28"/>
          <w:szCs w:val="28"/>
        </w:rPr>
        <w:t xml:space="preserve">: </w:t>
      </w:r>
      <w:hyperlink r:id="rId5" w:history="1">
        <w:r w:rsidRPr="006905BD">
          <w:rPr>
            <w:rStyle w:val="ac"/>
            <w:rFonts w:ascii="Times New Roman" w:hAnsi="Times New Roman" w:cs="Times New Roman"/>
            <w:color w:val="auto"/>
            <w:sz w:val="28"/>
            <w:szCs w:val="28"/>
            <w:u w:val="none"/>
            <w:lang w:val="en-US"/>
          </w:rPr>
          <w:t>madina</w:t>
        </w:r>
        <w:r w:rsidRPr="007F0630">
          <w:rPr>
            <w:rStyle w:val="ac"/>
            <w:rFonts w:ascii="Times New Roman" w:hAnsi="Times New Roman" w:cs="Times New Roman"/>
            <w:color w:val="auto"/>
            <w:sz w:val="28"/>
            <w:szCs w:val="28"/>
            <w:u w:val="none"/>
          </w:rPr>
          <w:t>_</w:t>
        </w:r>
        <w:r w:rsidRPr="006905BD">
          <w:rPr>
            <w:rStyle w:val="ac"/>
            <w:rFonts w:ascii="Times New Roman" w:hAnsi="Times New Roman" w:cs="Times New Roman"/>
            <w:color w:val="auto"/>
            <w:sz w:val="28"/>
            <w:szCs w:val="28"/>
            <w:u w:val="none"/>
            <w:lang w:val="en-US"/>
          </w:rPr>
          <w:t>khv</w:t>
        </w:r>
        <w:r w:rsidRPr="007F0630">
          <w:rPr>
            <w:rStyle w:val="ac"/>
            <w:rFonts w:ascii="Times New Roman" w:hAnsi="Times New Roman" w:cs="Times New Roman"/>
            <w:color w:val="auto"/>
            <w:sz w:val="28"/>
            <w:szCs w:val="28"/>
            <w:u w:val="none"/>
          </w:rPr>
          <w:t>@</w:t>
        </w:r>
        <w:r w:rsidRPr="006905BD">
          <w:rPr>
            <w:rStyle w:val="ac"/>
            <w:rFonts w:ascii="Times New Roman" w:hAnsi="Times New Roman" w:cs="Times New Roman"/>
            <w:color w:val="auto"/>
            <w:sz w:val="28"/>
            <w:szCs w:val="28"/>
            <w:u w:val="none"/>
            <w:lang w:val="en-US"/>
          </w:rPr>
          <w:t>mail</w:t>
        </w:r>
        <w:r w:rsidRPr="007F0630">
          <w:rPr>
            <w:rStyle w:val="ac"/>
            <w:rFonts w:ascii="Times New Roman" w:hAnsi="Times New Roman" w:cs="Times New Roman"/>
            <w:color w:val="auto"/>
            <w:sz w:val="28"/>
            <w:szCs w:val="28"/>
            <w:u w:val="none"/>
          </w:rPr>
          <w:t>.</w:t>
        </w:r>
        <w:proofErr w:type="spellStart"/>
        <w:r w:rsidRPr="006905BD">
          <w:rPr>
            <w:rStyle w:val="ac"/>
            <w:rFonts w:ascii="Times New Roman" w:hAnsi="Times New Roman" w:cs="Times New Roman"/>
            <w:color w:val="auto"/>
            <w:sz w:val="28"/>
            <w:szCs w:val="28"/>
            <w:u w:val="none"/>
            <w:lang w:val="en-US"/>
          </w:rPr>
          <w:t>ru</w:t>
        </w:r>
        <w:proofErr w:type="spellEnd"/>
      </w:hyperlink>
    </w:p>
    <w:p w14:paraId="3BE89E16" w14:textId="0385DDB6" w:rsidR="00242BCA" w:rsidRPr="006905BD" w:rsidRDefault="006905BD" w:rsidP="00260A0E">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Османова</w:t>
      </w:r>
      <w:proofErr w:type="spellEnd"/>
      <w:r>
        <w:rPr>
          <w:rFonts w:ascii="Times New Roman" w:hAnsi="Times New Roman" w:cs="Times New Roman"/>
          <w:b/>
          <w:sz w:val="28"/>
          <w:szCs w:val="28"/>
        </w:rPr>
        <w:t xml:space="preserve"> Г</w:t>
      </w:r>
      <w:r w:rsidR="007F0630">
        <w:rPr>
          <w:rFonts w:ascii="Times New Roman" w:hAnsi="Times New Roman" w:cs="Times New Roman"/>
          <w:b/>
          <w:sz w:val="28"/>
          <w:szCs w:val="28"/>
          <w:lang w:val="kk-KZ"/>
        </w:rPr>
        <w:t>.</w:t>
      </w:r>
      <w:r>
        <w:rPr>
          <w:rFonts w:ascii="Times New Roman" w:hAnsi="Times New Roman" w:cs="Times New Roman"/>
          <w:b/>
          <w:sz w:val="28"/>
          <w:szCs w:val="28"/>
        </w:rPr>
        <w:t>Ж</w:t>
      </w:r>
      <w:r w:rsidR="007F0630">
        <w:rPr>
          <w:rFonts w:ascii="Times New Roman" w:hAnsi="Times New Roman" w:cs="Times New Roman"/>
          <w:b/>
          <w:sz w:val="28"/>
          <w:szCs w:val="28"/>
          <w:lang w:val="kk-KZ"/>
        </w:rPr>
        <w:t>.</w:t>
      </w:r>
      <w:r>
        <w:rPr>
          <w:rFonts w:ascii="Times New Roman" w:hAnsi="Times New Roman" w:cs="Times New Roman"/>
          <w:b/>
          <w:sz w:val="28"/>
          <w:szCs w:val="28"/>
        </w:rPr>
        <w:t xml:space="preserve"> </w:t>
      </w:r>
    </w:p>
    <w:p w14:paraId="7CAFE91C" w14:textId="4494E9CE" w:rsidR="00242BCA" w:rsidRPr="006905BD" w:rsidRDefault="00242BCA" w:rsidP="00260A0E">
      <w:pPr>
        <w:spacing w:after="0" w:line="240" w:lineRule="auto"/>
        <w:jc w:val="center"/>
        <w:rPr>
          <w:rFonts w:ascii="Times New Roman" w:hAnsi="Times New Roman" w:cs="Times New Roman"/>
          <w:i/>
          <w:sz w:val="28"/>
          <w:szCs w:val="28"/>
        </w:rPr>
      </w:pPr>
      <w:r w:rsidRPr="006905BD">
        <w:rPr>
          <w:rFonts w:ascii="Times New Roman" w:hAnsi="Times New Roman" w:cs="Times New Roman"/>
          <w:i/>
          <w:sz w:val="28"/>
          <w:szCs w:val="28"/>
          <w:lang w:val="kk-KZ"/>
        </w:rPr>
        <w:t xml:space="preserve">ассоциированный профессор </w:t>
      </w:r>
      <w:r w:rsidRPr="006905BD">
        <w:rPr>
          <w:rFonts w:ascii="Times New Roman" w:hAnsi="Times New Roman" w:cs="Times New Roman"/>
          <w:i/>
          <w:sz w:val="28"/>
          <w:szCs w:val="28"/>
        </w:rPr>
        <w:t>кафедры</w:t>
      </w:r>
      <w:r w:rsidR="00260A0E">
        <w:rPr>
          <w:rFonts w:ascii="Times New Roman" w:hAnsi="Times New Roman" w:cs="Times New Roman"/>
          <w:i/>
          <w:sz w:val="28"/>
          <w:szCs w:val="28"/>
          <w:lang w:val="kk-KZ"/>
        </w:rPr>
        <w:t xml:space="preserve"> </w:t>
      </w:r>
      <w:r w:rsidRPr="006905BD">
        <w:rPr>
          <w:rFonts w:ascii="Times New Roman" w:hAnsi="Times New Roman" w:cs="Times New Roman"/>
          <w:i/>
          <w:sz w:val="28"/>
          <w:szCs w:val="28"/>
        </w:rPr>
        <w:t xml:space="preserve">юриспруденции </w:t>
      </w:r>
      <w:proofErr w:type="spellStart"/>
      <w:r w:rsidRPr="006905BD">
        <w:rPr>
          <w:rFonts w:ascii="Times New Roman" w:hAnsi="Times New Roman" w:cs="Times New Roman"/>
          <w:i/>
          <w:sz w:val="28"/>
          <w:szCs w:val="28"/>
        </w:rPr>
        <w:t>КазНПУ</w:t>
      </w:r>
      <w:proofErr w:type="spellEnd"/>
      <w:r w:rsidRPr="006905BD">
        <w:rPr>
          <w:rFonts w:ascii="Times New Roman" w:hAnsi="Times New Roman" w:cs="Times New Roman"/>
          <w:i/>
          <w:sz w:val="28"/>
          <w:szCs w:val="28"/>
        </w:rPr>
        <w:t xml:space="preserve"> им. Абая,</w:t>
      </w:r>
    </w:p>
    <w:p w14:paraId="13A53B27" w14:textId="2F8F2F94" w:rsidR="00242BCA" w:rsidRDefault="00242BCA" w:rsidP="00260A0E">
      <w:pPr>
        <w:spacing w:after="0" w:line="240" w:lineRule="auto"/>
        <w:jc w:val="center"/>
        <w:rPr>
          <w:rFonts w:ascii="Times New Roman" w:hAnsi="Times New Roman" w:cs="Times New Roman"/>
          <w:sz w:val="28"/>
          <w:szCs w:val="28"/>
          <w:lang w:val="en-US"/>
        </w:rPr>
      </w:pPr>
      <w:r w:rsidRPr="006905BD">
        <w:rPr>
          <w:rFonts w:ascii="Times New Roman" w:hAnsi="Times New Roman" w:cs="Times New Roman"/>
          <w:i/>
          <w:sz w:val="28"/>
          <w:szCs w:val="28"/>
        </w:rPr>
        <w:t>доктор</w:t>
      </w:r>
      <w:r w:rsidRPr="007F0630">
        <w:rPr>
          <w:rFonts w:ascii="Times New Roman" w:hAnsi="Times New Roman" w:cs="Times New Roman"/>
          <w:i/>
          <w:sz w:val="28"/>
          <w:szCs w:val="28"/>
          <w:lang w:val="en-US"/>
        </w:rPr>
        <w:t xml:space="preserve"> </w:t>
      </w:r>
      <w:r w:rsidRPr="006905BD">
        <w:rPr>
          <w:rFonts w:ascii="Times New Roman" w:hAnsi="Times New Roman" w:cs="Times New Roman"/>
          <w:i/>
          <w:sz w:val="28"/>
          <w:szCs w:val="28"/>
          <w:lang w:val="en-US"/>
        </w:rPr>
        <w:t>PhD</w:t>
      </w:r>
      <w:r w:rsidR="007F0630">
        <w:rPr>
          <w:rFonts w:ascii="Times New Roman" w:hAnsi="Times New Roman" w:cs="Times New Roman"/>
          <w:i/>
          <w:sz w:val="28"/>
          <w:szCs w:val="28"/>
          <w:lang w:val="kk-KZ"/>
        </w:rPr>
        <w:t xml:space="preserve"> </w:t>
      </w:r>
      <w:r w:rsidR="007F0630" w:rsidRPr="007F0630">
        <w:rPr>
          <w:rFonts w:ascii="Times New Roman" w:hAnsi="Times New Roman" w:cs="Times New Roman"/>
          <w:sz w:val="28"/>
          <w:szCs w:val="28"/>
          <w:lang w:val="en-US"/>
        </w:rPr>
        <w:t>gulaina.78@mail.ru</w:t>
      </w:r>
    </w:p>
    <w:p w14:paraId="66B1604F" w14:textId="77777777" w:rsidR="007F0630" w:rsidRDefault="007F0630" w:rsidP="00260A0E">
      <w:pPr>
        <w:spacing w:after="0"/>
        <w:jc w:val="center"/>
        <w:rPr>
          <w:rFonts w:ascii="Times New Roman" w:hAnsi="Times New Roman" w:cs="Times New Roman"/>
          <w:b/>
          <w:sz w:val="28"/>
          <w:szCs w:val="28"/>
          <w:lang w:val="kk-KZ"/>
        </w:rPr>
      </w:pPr>
    </w:p>
    <w:p w14:paraId="77A43352" w14:textId="72D4BF07" w:rsidR="007F0630" w:rsidRPr="00386877" w:rsidRDefault="007F0630" w:rsidP="00260A0E">
      <w:pPr>
        <w:spacing w:after="0"/>
        <w:jc w:val="center"/>
        <w:rPr>
          <w:rFonts w:ascii="Times New Roman" w:hAnsi="Times New Roman" w:cs="Times New Roman"/>
          <w:b/>
          <w:sz w:val="28"/>
          <w:szCs w:val="28"/>
          <w:lang w:val="kk-KZ"/>
        </w:rPr>
      </w:pPr>
      <w:r w:rsidRPr="00386877">
        <w:rPr>
          <w:rFonts w:ascii="Times New Roman" w:hAnsi="Times New Roman" w:cs="Times New Roman"/>
          <w:b/>
          <w:sz w:val="28"/>
          <w:szCs w:val="28"/>
          <w:lang w:val="kk-KZ"/>
        </w:rPr>
        <w:t>Toleubekova B</w:t>
      </w:r>
      <w:r>
        <w:rPr>
          <w:rFonts w:ascii="Times New Roman" w:hAnsi="Times New Roman" w:cs="Times New Roman"/>
          <w:b/>
          <w:sz w:val="28"/>
          <w:szCs w:val="28"/>
          <w:lang w:val="kk-KZ"/>
        </w:rPr>
        <w:t>.</w:t>
      </w:r>
      <w:r w:rsidRPr="00386877">
        <w:rPr>
          <w:rFonts w:ascii="Times New Roman" w:hAnsi="Times New Roman" w:cs="Times New Roman"/>
          <w:b/>
          <w:sz w:val="28"/>
          <w:szCs w:val="28"/>
          <w:lang w:val="kk-KZ"/>
        </w:rPr>
        <w:t>H</w:t>
      </w:r>
      <w:r>
        <w:rPr>
          <w:rFonts w:ascii="Times New Roman" w:hAnsi="Times New Roman" w:cs="Times New Roman"/>
          <w:b/>
          <w:sz w:val="28"/>
          <w:szCs w:val="28"/>
          <w:lang w:val="kk-KZ"/>
        </w:rPr>
        <w:t>.</w:t>
      </w:r>
    </w:p>
    <w:p w14:paraId="6B414CA4" w14:textId="64A0F61D" w:rsidR="007F0630" w:rsidRPr="00386877" w:rsidRDefault="007F0630" w:rsidP="00260A0E">
      <w:pPr>
        <w:spacing w:after="0"/>
        <w:jc w:val="center"/>
        <w:rPr>
          <w:rFonts w:ascii="Times New Roman" w:hAnsi="Times New Roman" w:cs="Times New Roman"/>
          <w:i/>
          <w:sz w:val="28"/>
          <w:szCs w:val="28"/>
          <w:lang w:val="en-US"/>
        </w:rPr>
      </w:pPr>
      <w:proofErr w:type="gramStart"/>
      <w:r w:rsidRPr="00386877">
        <w:rPr>
          <w:rFonts w:ascii="Times New Roman" w:hAnsi="Times New Roman" w:cs="Times New Roman"/>
          <w:i/>
          <w:sz w:val="28"/>
          <w:szCs w:val="28"/>
          <w:lang w:val="en-US"/>
        </w:rPr>
        <w:t>professor</w:t>
      </w:r>
      <w:proofErr w:type="gramEnd"/>
      <w:r w:rsidRPr="00386877">
        <w:rPr>
          <w:rFonts w:ascii="Times New Roman" w:hAnsi="Times New Roman" w:cs="Times New Roman"/>
          <w:i/>
          <w:sz w:val="28"/>
          <w:szCs w:val="28"/>
          <w:lang w:val="en-US"/>
        </w:rPr>
        <w:t xml:space="preserve"> of the department</w:t>
      </w:r>
      <w:r>
        <w:rPr>
          <w:rFonts w:ascii="Times New Roman" w:hAnsi="Times New Roman" w:cs="Times New Roman"/>
          <w:i/>
          <w:sz w:val="28"/>
          <w:szCs w:val="28"/>
          <w:lang w:val="kk-KZ"/>
        </w:rPr>
        <w:t xml:space="preserve"> </w:t>
      </w:r>
      <w:proofErr w:type="spellStart"/>
      <w:r w:rsidRPr="00386877">
        <w:rPr>
          <w:rFonts w:ascii="Times New Roman" w:hAnsi="Times New Roman" w:cs="Times New Roman"/>
          <w:i/>
          <w:sz w:val="28"/>
          <w:szCs w:val="28"/>
          <w:lang w:val="en-US"/>
        </w:rPr>
        <w:t>Abay</w:t>
      </w:r>
      <w:proofErr w:type="spellEnd"/>
      <w:r w:rsidRPr="00386877">
        <w:rPr>
          <w:rFonts w:ascii="Times New Roman" w:hAnsi="Times New Roman" w:cs="Times New Roman"/>
          <w:i/>
          <w:sz w:val="28"/>
          <w:szCs w:val="28"/>
          <w:lang w:val="en-US"/>
        </w:rPr>
        <w:t xml:space="preserve"> </w:t>
      </w:r>
      <w:proofErr w:type="spellStart"/>
      <w:r w:rsidRPr="00386877">
        <w:rPr>
          <w:rFonts w:ascii="Times New Roman" w:hAnsi="Times New Roman" w:cs="Times New Roman"/>
          <w:i/>
          <w:sz w:val="28"/>
          <w:szCs w:val="28"/>
          <w:lang w:val="en-US"/>
        </w:rPr>
        <w:t>KazNPU</w:t>
      </w:r>
      <w:proofErr w:type="spellEnd"/>
      <w:r w:rsidRPr="00386877">
        <w:rPr>
          <w:rFonts w:ascii="Times New Roman" w:hAnsi="Times New Roman" w:cs="Times New Roman"/>
          <w:i/>
          <w:sz w:val="28"/>
          <w:szCs w:val="28"/>
          <w:lang w:val="en-US"/>
        </w:rPr>
        <w:t xml:space="preserve"> Department of Jurisprudence,</w:t>
      </w:r>
    </w:p>
    <w:p w14:paraId="43261FE5" w14:textId="77777777" w:rsidR="007F0630" w:rsidRPr="00386877" w:rsidRDefault="007F0630" w:rsidP="00260A0E">
      <w:pPr>
        <w:spacing w:after="0"/>
        <w:jc w:val="center"/>
        <w:rPr>
          <w:rFonts w:ascii="Times New Roman" w:hAnsi="Times New Roman" w:cs="Times New Roman"/>
          <w:i/>
          <w:sz w:val="28"/>
          <w:szCs w:val="28"/>
          <w:lang w:val="en-US"/>
        </w:rPr>
      </w:pPr>
      <w:r w:rsidRPr="00386877">
        <w:rPr>
          <w:rFonts w:ascii="Times New Roman" w:hAnsi="Times New Roman" w:cs="Times New Roman"/>
          <w:i/>
          <w:sz w:val="28"/>
          <w:szCs w:val="28"/>
          <w:lang w:val="en-US"/>
        </w:rPr>
        <w:t>Doctor of Law, Professor</w:t>
      </w:r>
    </w:p>
    <w:p w14:paraId="28A278D2" w14:textId="77777777" w:rsidR="007F0630" w:rsidRPr="007F0630" w:rsidRDefault="007F0630" w:rsidP="00260A0E">
      <w:pPr>
        <w:spacing w:after="0"/>
        <w:jc w:val="center"/>
        <w:rPr>
          <w:rFonts w:ascii="Times New Roman" w:hAnsi="Times New Roman" w:cs="Times New Roman"/>
          <w:b/>
          <w:sz w:val="28"/>
          <w:szCs w:val="28"/>
          <w:lang w:val="kk-KZ"/>
        </w:rPr>
      </w:pPr>
      <w:proofErr w:type="spellStart"/>
      <w:r w:rsidRPr="00386877">
        <w:rPr>
          <w:rFonts w:ascii="Times New Roman" w:hAnsi="Times New Roman" w:cs="Times New Roman"/>
          <w:b/>
          <w:sz w:val="28"/>
          <w:szCs w:val="28"/>
          <w:lang w:val="en-US"/>
        </w:rPr>
        <w:t>Osmanova</w:t>
      </w:r>
      <w:proofErr w:type="spellEnd"/>
      <w:r w:rsidRPr="00386877">
        <w:rPr>
          <w:rFonts w:ascii="Times New Roman" w:hAnsi="Times New Roman" w:cs="Times New Roman"/>
          <w:b/>
          <w:sz w:val="28"/>
          <w:szCs w:val="28"/>
          <w:lang w:val="en-US"/>
        </w:rPr>
        <w:t xml:space="preserve"> G</w:t>
      </w:r>
      <w:r>
        <w:rPr>
          <w:rFonts w:ascii="Times New Roman" w:hAnsi="Times New Roman" w:cs="Times New Roman"/>
          <w:b/>
          <w:sz w:val="28"/>
          <w:szCs w:val="28"/>
          <w:lang w:val="kk-KZ"/>
        </w:rPr>
        <w:t>.</w:t>
      </w:r>
      <w:proofErr w:type="spellStart"/>
      <w:r w:rsidRPr="00386877">
        <w:rPr>
          <w:rFonts w:ascii="Times New Roman" w:hAnsi="Times New Roman" w:cs="Times New Roman"/>
          <w:b/>
          <w:sz w:val="28"/>
          <w:szCs w:val="28"/>
          <w:lang w:val="en-US"/>
        </w:rPr>
        <w:t>Zh</w:t>
      </w:r>
      <w:proofErr w:type="spellEnd"/>
      <w:r>
        <w:rPr>
          <w:rFonts w:ascii="Times New Roman" w:hAnsi="Times New Roman" w:cs="Times New Roman"/>
          <w:b/>
          <w:sz w:val="28"/>
          <w:szCs w:val="28"/>
          <w:lang w:val="kk-KZ"/>
        </w:rPr>
        <w:t>.</w:t>
      </w:r>
    </w:p>
    <w:p w14:paraId="702C6968" w14:textId="636E9A63" w:rsidR="007F0630" w:rsidRPr="00386877" w:rsidRDefault="007F0630" w:rsidP="00260A0E">
      <w:pPr>
        <w:spacing w:after="0"/>
        <w:jc w:val="center"/>
        <w:rPr>
          <w:rFonts w:ascii="Times New Roman" w:hAnsi="Times New Roman" w:cs="Times New Roman"/>
          <w:i/>
          <w:sz w:val="28"/>
          <w:szCs w:val="28"/>
          <w:lang w:val="en-US"/>
        </w:rPr>
      </w:pPr>
      <w:r w:rsidRPr="00386877">
        <w:rPr>
          <w:rStyle w:val="ezkurwreuab5ozgtqnkl"/>
          <w:rFonts w:ascii="Times New Roman" w:hAnsi="Times New Roman" w:cs="Times New Roman"/>
          <w:i/>
          <w:sz w:val="28"/>
          <w:szCs w:val="28"/>
          <w:lang w:val="kk-KZ"/>
        </w:rPr>
        <w:t>а</w:t>
      </w:r>
      <w:proofErr w:type="spellStart"/>
      <w:r w:rsidRPr="00386877">
        <w:rPr>
          <w:rStyle w:val="ezkurwreuab5ozgtqnkl"/>
          <w:rFonts w:ascii="Times New Roman" w:hAnsi="Times New Roman" w:cs="Times New Roman"/>
          <w:i/>
          <w:sz w:val="28"/>
          <w:szCs w:val="28"/>
          <w:lang w:val="en-US"/>
        </w:rPr>
        <w:t>ssociate</w:t>
      </w:r>
      <w:proofErr w:type="spellEnd"/>
      <w:r w:rsidRPr="00386877">
        <w:rPr>
          <w:rFonts w:ascii="Times New Roman" w:hAnsi="Times New Roman" w:cs="Times New Roman"/>
          <w:i/>
          <w:sz w:val="28"/>
          <w:szCs w:val="28"/>
          <w:lang w:val="en-US"/>
        </w:rPr>
        <w:t xml:space="preserve"> </w:t>
      </w:r>
      <w:r w:rsidRPr="00386877">
        <w:rPr>
          <w:rStyle w:val="ezkurwreuab5ozgtqnkl"/>
          <w:rFonts w:ascii="Times New Roman" w:hAnsi="Times New Roman" w:cs="Times New Roman"/>
          <w:i/>
          <w:sz w:val="28"/>
          <w:szCs w:val="28"/>
          <w:lang w:val="en-US"/>
        </w:rPr>
        <w:t>Professor</w:t>
      </w:r>
      <w:r w:rsidRPr="00386877">
        <w:rPr>
          <w:rFonts w:ascii="Times New Roman" w:hAnsi="Times New Roman" w:cs="Times New Roman"/>
          <w:i/>
          <w:sz w:val="28"/>
          <w:szCs w:val="28"/>
          <w:lang w:val="en-US"/>
        </w:rPr>
        <w:t xml:space="preserve"> of the </w:t>
      </w:r>
      <w:r w:rsidRPr="00386877">
        <w:rPr>
          <w:rStyle w:val="ezkurwreuab5ozgtqnkl"/>
          <w:rFonts w:ascii="Times New Roman" w:hAnsi="Times New Roman" w:cs="Times New Roman"/>
          <w:i/>
          <w:sz w:val="28"/>
          <w:szCs w:val="28"/>
          <w:lang w:val="en-US"/>
        </w:rPr>
        <w:t>Department</w:t>
      </w:r>
      <w:r>
        <w:rPr>
          <w:rStyle w:val="ezkurwreuab5ozgtqnkl"/>
          <w:rFonts w:ascii="Times New Roman" w:hAnsi="Times New Roman" w:cs="Times New Roman"/>
          <w:i/>
          <w:sz w:val="28"/>
          <w:szCs w:val="28"/>
          <w:lang w:val="kk-KZ"/>
        </w:rPr>
        <w:t xml:space="preserve"> </w:t>
      </w:r>
      <w:r w:rsidRPr="00386877">
        <w:rPr>
          <w:rFonts w:ascii="Times New Roman" w:hAnsi="Times New Roman" w:cs="Times New Roman"/>
          <w:i/>
          <w:sz w:val="28"/>
          <w:szCs w:val="28"/>
          <w:lang w:val="en-US"/>
        </w:rPr>
        <w:t xml:space="preserve">jurisprudence department of </w:t>
      </w:r>
      <w:proofErr w:type="spellStart"/>
      <w:r w:rsidRPr="00386877">
        <w:rPr>
          <w:rFonts w:ascii="Times New Roman" w:hAnsi="Times New Roman" w:cs="Times New Roman"/>
          <w:i/>
          <w:sz w:val="28"/>
          <w:szCs w:val="28"/>
          <w:lang w:val="en-US"/>
        </w:rPr>
        <w:t>Abay</w:t>
      </w:r>
      <w:proofErr w:type="spellEnd"/>
      <w:r w:rsidRPr="00386877">
        <w:rPr>
          <w:rFonts w:ascii="Times New Roman" w:hAnsi="Times New Roman" w:cs="Times New Roman"/>
          <w:i/>
          <w:sz w:val="28"/>
          <w:szCs w:val="28"/>
          <w:lang w:val="en-US"/>
        </w:rPr>
        <w:t xml:space="preserve"> </w:t>
      </w:r>
      <w:proofErr w:type="spellStart"/>
      <w:r w:rsidRPr="00386877">
        <w:rPr>
          <w:rFonts w:ascii="Times New Roman" w:hAnsi="Times New Roman" w:cs="Times New Roman"/>
          <w:i/>
          <w:sz w:val="28"/>
          <w:szCs w:val="28"/>
          <w:lang w:val="en-US"/>
        </w:rPr>
        <w:t>KazNPU</w:t>
      </w:r>
      <w:proofErr w:type="spellEnd"/>
      <w:r w:rsidRPr="00386877">
        <w:rPr>
          <w:rFonts w:ascii="Times New Roman" w:hAnsi="Times New Roman" w:cs="Times New Roman"/>
          <w:i/>
          <w:sz w:val="28"/>
          <w:szCs w:val="28"/>
          <w:lang w:val="en-US"/>
        </w:rPr>
        <w:t>, PhD</w:t>
      </w:r>
    </w:p>
    <w:p w14:paraId="2A8DDFF2" w14:textId="77777777" w:rsidR="00242BCA" w:rsidRPr="006905BD" w:rsidRDefault="00242BCA" w:rsidP="00260A0E">
      <w:pPr>
        <w:widowControl w:val="0"/>
        <w:spacing w:after="0" w:line="240" w:lineRule="auto"/>
        <w:jc w:val="center"/>
        <w:rPr>
          <w:rFonts w:ascii="Times New Roman" w:hAnsi="Times New Roman" w:cs="Times New Roman"/>
          <w:b/>
          <w:sz w:val="28"/>
          <w:szCs w:val="28"/>
          <w:lang w:val="kk-KZ"/>
        </w:rPr>
      </w:pPr>
    </w:p>
    <w:bookmarkEnd w:id="0"/>
    <w:p w14:paraId="6ADB02C2" w14:textId="5D51F45C" w:rsidR="0015698B" w:rsidRDefault="00415D4C" w:rsidP="006905BD">
      <w:pPr>
        <w:spacing w:after="0" w:line="240" w:lineRule="auto"/>
        <w:jc w:val="center"/>
        <w:rPr>
          <w:rFonts w:ascii="Times New Roman" w:hAnsi="Times New Roman" w:cs="Times New Roman"/>
          <w:b/>
          <w:bCs/>
          <w:sz w:val="28"/>
          <w:szCs w:val="28"/>
        </w:rPr>
      </w:pPr>
      <w:r w:rsidRPr="006905BD">
        <w:rPr>
          <w:rFonts w:ascii="Times New Roman" w:hAnsi="Times New Roman" w:cs="Times New Roman"/>
          <w:b/>
          <w:bCs/>
          <w:sz w:val="28"/>
          <w:szCs w:val="28"/>
        </w:rPr>
        <w:t>Ф</w:t>
      </w:r>
      <w:r w:rsidR="007F0630" w:rsidRPr="006905BD">
        <w:rPr>
          <w:rFonts w:ascii="Times New Roman" w:hAnsi="Times New Roman" w:cs="Times New Roman"/>
          <w:b/>
          <w:bCs/>
          <w:sz w:val="28"/>
          <w:szCs w:val="28"/>
        </w:rPr>
        <w:t xml:space="preserve">инансово-экономическая политика </w:t>
      </w:r>
      <w:r w:rsidRPr="006905BD">
        <w:rPr>
          <w:rFonts w:ascii="Times New Roman" w:hAnsi="Times New Roman" w:cs="Times New Roman"/>
          <w:b/>
          <w:bCs/>
          <w:sz w:val="28"/>
          <w:szCs w:val="28"/>
        </w:rPr>
        <w:t>Р</w:t>
      </w:r>
      <w:r w:rsidR="007F0630" w:rsidRPr="006905BD">
        <w:rPr>
          <w:rFonts w:ascii="Times New Roman" w:hAnsi="Times New Roman" w:cs="Times New Roman"/>
          <w:b/>
          <w:bCs/>
          <w:sz w:val="28"/>
          <w:szCs w:val="28"/>
        </w:rPr>
        <w:t xml:space="preserve">еспублики </w:t>
      </w:r>
      <w:r w:rsidRPr="006905BD">
        <w:rPr>
          <w:rFonts w:ascii="Times New Roman" w:hAnsi="Times New Roman" w:cs="Times New Roman"/>
          <w:b/>
          <w:bCs/>
          <w:sz w:val="28"/>
          <w:szCs w:val="28"/>
        </w:rPr>
        <w:t>К</w:t>
      </w:r>
      <w:r w:rsidR="007F0630" w:rsidRPr="006905BD">
        <w:rPr>
          <w:rFonts w:ascii="Times New Roman" w:hAnsi="Times New Roman" w:cs="Times New Roman"/>
          <w:b/>
          <w:bCs/>
          <w:sz w:val="28"/>
          <w:szCs w:val="28"/>
        </w:rPr>
        <w:t>азахстан в сфере игорного бизнеса</w:t>
      </w:r>
    </w:p>
    <w:p w14:paraId="2C185606" w14:textId="3CA8ED89" w:rsidR="00260A0E" w:rsidRPr="00260A0E" w:rsidRDefault="00260A0E" w:rsidP="006905BD">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181FD677" w14:textId="183E8D02" w:rsidR="007F0630" w:rsidRPr="006905BD" w:rsidRDefault="007F0630" w:rsidP="007F0630">
      <w:pPr>
        <w:spacing w:after="0"/>
        <w:ind w:firstLine="567"/>
        <w:jc w:val="center"/>
        <w:rPr>
          <w:rFonts w:ascii="Times New Roman" w:hAnsi="Times New Roman" w:cs="Times New Roman"/>
          <w:b/>
          <w:bCs/>
          <w:sz w:val="28"/>
          <w:szCs w:val="28"/>
          <w:lang w:val="en-US"/>
        </w:rPr>
      </w:pPr>
      <w:r w:rsidRPr="006905BD">
        <w:rPr>
          <w:rFonts w:ascii="Times New Roman" w:hAnsi="Times New Roman" w:cs="Times New Roman"/>
          <w:b/>
          <w:sz w:val="28"/>
          <w:szCs w:val="28"/>
          <w:lang w:val="en-US"/>
        </w:rPr>
        <w:t xml:space="preserve">Financial and economic policy of the </w:t>
      </w:r>
      <w:r w:rsidRPr="006905BD">
        <w:rPr>
          <w:rFonts w:ascii="Times New Roman" w:hAnsi="Times New Roman" w:cs="Times New Roman"/>
          <w:b/>
          <w:sz w:val="28"/>
          <w:szCs w:val="28"/>
          <w:lang w:val="en-US"/>
        </w:rPr>
        <w:t>R</w:t>
      </w:r>
      <w:r w:rsidRPr="006905BD">
        <w:rPr>
          <w:rFonts w:ascii="Times New Roman" w:hAnsi="Times New Roman" w:cs="Times New Roman"/>
          <w:b/>
          <w:sz w:val="28"/>
          <w:szCs w:val="28"/>
          <w:lang w:val="en-US"/>
        </w:rPr>
        <w:t>epublic of Kazakhstan in the field of gambling</w:t>
      </w:r>
    </w:p>
    <w:p w14:paraId="38A7CAE7" w14:textId="77777777" w:rsidR="007F0630" w:rsidRPr="007F0630" w:rsidRDefault="007F0630" w:rsidP="006905BD">
      <w:pPr>
        <w:spacing w:after="0" w:line="240" w:lineRule="auto"/>
        <w:jc w:val="center"/>
        <w:rPr>
          <w:rFonts w:ascii="Times New Roman" w:hAnsi="Times New Roman" w:cs="Times New Roman"/>
          <w:b/>
          <w:bCs/>
          <w:sz w:val="28"/>
          <w:szCs w:val="28"/>
          <w:lang w:val="en-US"/>
        </w:rPr>
      </w:pPr>
    </w:p>
    <w:p w14:paraId="2D07F353" w14:textId="15E6EB5E" w:rsidR="0015698B" w:rsidRPr="007F0630" w:rsidRDefault="0015698B" w:rsidP="007F0630">
      <w:pPr>
        <w:spacing w:after="0" w:line="240" w:lineRule="auto"/>
        <w:ind w:firstLine="567"/>
        <w:jc w:val="both"/>
        <w:rPr>
          <w:rFonts w:ascii="Times New Roman" w:hAnsi="Times New Roman" w:cs="Times New Roman"/>
          <w:b/>
          <w:sz w:val="24"/>
          <w:szCs w:val="24"/>
        </w:rPr>
      </w:pPr>
      <w:r w:rsidRPr="007F0630">
        <w:rPr>
          <w:rFonts w:ascii="Times New Roman" w:hAnsi="Times New Roman" w:cs="Times New Roman"/>
          <w:b/>
          <w:sz w:val="24"/>
          <w:szCs w:val="24"/>
        </w:rPr>
        <w:t>Аннотация</w:t>
      </w:r>
    </w:p>
    <w:p w14:paraId="37DDB47A" w14:textId="6D2CCFEF" w:rsidR="0015698B" w:rsidRPr="007F0630" w:rsidRDefault="0015698B" w:rsidP="006905BD">
      <w:pPr>
        <w:spacing w:after="0" w:line="240" w:lineRule="auto"/>
        <w:ind w:firstLine="567"/>
        <w:jc w:val="both"/>
        <w:rPr>
          <w:rFonts w:ascii="Times New Roman" w:hAnsi="Times New Roman" w:cs="Times New Roman"/>
          <w:i/>
          <w:sz w:val="24"/>
          <w:szCs w:val="24"/>
        </w:rPr>
      </w:pPr>
      <w:r w:rsidRPr="007F0630">
        <w:rPr>
          <w:rFonts w:ascii="Times New Roman" w:hAnsi="Times New Roman" w:cs="Times New Roman"/>
          <w:i/>
          <w:sz w:val="24"/>
          <w:szCs w:val="24"/>
        </w:rPr>
        <w:t xml:space="preserve">Игорный бизнес в Казахстане является одним из видов предпринимательской деятельности. В структуре бюджета страны доходы от него занимают определенную нишу и играют роль одного из финансовых источников. Оценка потока доходов позволяет относить его к незначительным, не имеющим ключевого значения в разрешении финансово-экономических проблем. В современных рыночных условиях разумный подход предполагает наращивание потенциала игорного бизнеса. Такой подход осуществим в контексте наличия надлежащего качества условий, позволяющих развивать игорный бизнес по аналогии с такими странами, как, например, княжество </w:t>
      </w:r>
      <w:r w:rsidR="007F0630" w:rsidRPr="007F0630">
        <w:rPr>
          <w:rFonts w:ascii="Times New Roman" w:hAnsi="Times New Roman" w:cs="Times New Roman"/>
          <w:i/>
          <w:sz w:val="24"/>
          <w:szCs w:val="24"/>
        </w:rPr>
        <w:t>Монако,</w:t>
      </w:r>
      <w:r w:rsidR="007F0630" w:rsidRPr="007F0630">
        <w:rPr>
          <w:rFonts w:ascii="Times New Roman" w:hAnsi="Times New Roman" w:cs="Times New Roman"/>
          <w:i/>
          <w:sz w:val="24"/>
          <w:szCs w:val="24"/>
          <w:lang w:val="kk-KZ"/>
        </w:rPr>
        <w:t xml:space="preserve"> </w:t>
      </w:r>
      <w:r w:rsidR="007F0630" w:rsidRPr="007F0630">
        <w:rPr>
          <w:rFonts w:ascii="Times New Roman" w:hAnsi="Times New Roman" w:cs="Times New Roman"/>
          <w:i/>
          <w:sz w:val="24"/>
          <w:szCs w:val="24"/>
        </w:rPr>
        <w:t>где</w:t>
      </w:r>
      <w:r w:rsidRPr="007F0630">
        <w:rPr>
          <w:rFonts w:ascii="Times New Roman" w:hAnsi="Times New Roman" w:cs="Times New Roman"/>
          <w:i/>
          <w:sz w:val="24"/>
          <w:szCs w:val="24"/>
        </w:rPr>
        <w:t xml:space="preserve"> игорный бизнес составляет основную статью в системе национальных доходов. Наряду с этим, развитие игорного бизнеса сопровождается распространением лудомании, которая характеризуется множеством негативных последствий. Такие факторы, как непосредственное влияние на комплекс финансово-экономических составляющих элементов жизни и деятельности страны, не позволяют применять политику жесткого ограничения игорного бизнеса либо его полного запрета. При таком подходе бюджет государства понесет определенные потери в виде налогов, игорный бизнес уйдет в теневую экономику, неконтролируемый незаконный игорный бизнес пополнит финансовые источники, питающие религиозный экстремизм и терроризм, коррупцию и т. п. </w:t>
      </w:r>
    </w:p>
    <w:p w14:paraId="4F61797F" w14:textId="52369128" w:rsidR="0015698B" w:rsidRPr="007F0630" w:rsidRDefault="0015698B" w:rsidP="004021D0">
      <w:pPr>
        <w:spacing w:after="0"/>
        <w:ind w:firstLine="567"/>
        <w:jc w:val="both"/>
        <w:rPr>
          <w:rFonts w:ascii="Times New Roman" w:hAnsi="Times New Roman" w:cs="Times New Roman"/>
          <w:i/>
          <w:sz w:val="24"/>
          <w:szCs w:val="24"/>
        </w:rPr>
      </w:pPr>
      <w:r w:rsidRPr="007F0630">
        <w:rPr>
          <w:rFonts w:ascii="Times New Roman" w:hAnsi="Times New Roman" w:cs="Times New Roman"/>
          <w:i/>
          <w:sz w:val="24"/>
          <w:szCs w:val="24"/>
        </w:rPr>
        <w:t xml:space="preserve">В настоящей работе исследуются пути достижения оптимального соотношения между механизмами финансово-экономического воздействия в регулировании отношений в области игорного бизнеса, способными обеспечить не только эффективную экономическую политику, включая налоговый контроль и поощрительные санкции, но также придавать чрезмерному увлечению азартными играми признаки деловой бесперспективности личности, делающей невыгодной его трансформацию в категорию </w:t>
      </w:r>
      <w:proofErr w:type="spellStart"/>
      <w:r w:rsidRPr="007F0630">
        <w:rPr>
          <w:rFonts w:ascii="Times New Roman" w:hAnsi="Times New Roman" w:cs="Times New Roman"/>
          <w:i/>
          <w:sz w:val="24"/>
          <w:szCs w:val="24"/>
        </w:rPr>
        <w:t>лудомана</w:t>
      </w:r>
      <w:proofErr w:type="spellEnd"/>
      <w:r w:rsidRPr="007F0630">
        <w:rPr>
          <w:rFonts w:ascii="Times New Roman" w:hAnsi="Times New Roman" w:cs="Times New Roman"/>
          <w:i/>
          <w:sz w:val="24"/>
          <w:szCs w:val="24"/>
        </w:rPr>
        <w:t>.</w:t>
      </w:r>
    </w:p>
    <w:p w14:paraId="697EDA6C" w14:textId="3A196113" w:rsidR="0015698B" w:rsidRPr="007F0630" w:rsidRDefault="0015698B" w:rsidP="004021D0">
      <w:pPr>
        <w:spacing w:after="0" w:line="240" w:lineRule="auto"/>
        <w:ind w:firstLine="567"/>
        <w:jc w:val="both"/>
        <w:rPr>
          <w:rFonts w:ascii="Times New Roman" w:hAnsi="Times New Roman" w:cs="Times New Roman"/>
          <w:i/>
          <w:sz w:val="24"/>
          <w:szCs w:val="24"/>
        </w:rPr>
      </w:pPr>
      <w:r w:rsidRPr="007F0630">
        <w:rPr>
          <w:rFonts w:ascii="Times New Roman" w:hAnsi="Times New Roman" w:cs="Times New Roman"/>
          <w:sz w:val="24"/>
          <w:szCs w:val="24"/>
        </w:rPr>
        <w:t xml:space="preserve">  </w:t>
      </w:r>
      <w:r w:rsidRPr="007F0630">
        <w:rPr>
          <w:rFonts w:ascii="Times New Roman" w:hAnsi="Times New Roman" w:cs="Times New Roman"/>
          <w:b/>
          <w:bCs/>
          <w:sz w:val="24"/>
          <w:szCs w:val="24"/>
        </w:rPr>
        <w:t>Ключевые слова</w:t>
      </w:r>
      <w:r w:rsidRPr="007F0630">
        <w:rPr>
          <w:rFonts w:ascii="Times New Roman" w:hAnsi="Times New Roman" w:cs="Times New Roman"/>
          <w:sz w:val="24"/>
          <w:szCs w:val="24"/>
        </w:rPr>
        <w:t xml:space="preserve">: </w:t>
      </w:r>
      <w:r w:rsidRPr="007F0630">
        <w:rPr>
          <w:rFonts w:ascii="Times New Roman" w:hAnsi="Times New Roman" w:cs="Times New Roman"/>
          <w:i/>
          <w:sz w:val="24"/>
          <w:szCs w:val="24"/>
        </w:rPr>
        <w:t>игорный бизнес, лудомания, финансово-экономическая политика, налоговая политика.</w:t>
      </w:r>
    </w:p>
    <w:p w14:paraId="35EA0FA2" w14:textId="77777777" w:rsidR="00242BCA" w:rsidRPr="007F0630" w:rsidRDefault="00242BCA" w:rsidP="004021D0">
      <w:pPr>
        <w:widowControl w:val="0"/>
        <w:spacing w:after="0" w:line="240" w:lineRule="auto"/>
        <w:ind w:firstLine="567"/>
        <w:jc w:val="center"/>
        <w:rPr>
          <w:rFonts w:ascii="Times New Roman" w:hAnsi="Times New Roman" w:cs="Times New Roman"/>
          <w:b/>
          <w:sz w:val="24"/>
          <w:szCs w:val="24"/>
          <w:lang w:val="kk-KZ"/>
        </w:rPr>
      </w:pPr>
    </w:p>
    <w:p w14:paraId="65683DF0" w14:textId="77777777" w:rsidR="001A0628" w:rsidRPr="007F0630" w:rsidRDefault="001A0628" w:rsidP="004021D0">
      <w:pPr>
        <w:spacing w:after="0"/>
        <w:ind w:firstLine="567"/>
        <w:jc w:val="both"/>
        <w:rPr>
          <w:rFonts w:ascii="Times New Roman" w:hAnsi="Times New Roman" w:cs="Times New Roman"/>
          <w:i/>
          <w:iCs/>
          <w:sz w:val="24"/>
          <w:szCs w:val="24"/>
        </w:rPr>
      </w:pPr>
      <w:r w:rsidRPr="007F0630">
        <w:rPr>
          <w:rFonts w:ascii="Times New Roman" w:hAnsi="Times New Roman" w:cs="Times New Roman"/>
          <w:b/>
          <w:bCs/>
          <w:sz w:val="24"/>
          <w:szCs w:val="24"/>
        </w:rPr>
        <w:t xml:space="preserve">   </w:t>
      </w:r>
      <w:r w:rsidRPr="007F0630">
        <w:rPr>
          <w:rFonts w:ascii="Times New Roman" w:hAnsi="Times New Roman" w:cs="Times New Roman"/>
          <w:i/>
          <w:iCs/>
          <w:sz w:val="24"/>
          <w:szCs w:val="24"/>
        </w:rPr>
        <w:t>Благодарность:</w:t>
      </w:r>
      <w:r w:rsidRPr="007F0630">
        <w:rPr>
          <w:rFonts w:ascii="Times New Roman" w:hAnsi="Times New Roman" w:cs="Times New Roman"/>
          <w:b/>
          <w:bCs/>
          <w:sz w:val="24"/>
          <w:szCs w:val="24"/>
        </w:rPr>
        <w:t xml:space="preserve"> </w:t>
      </w:r>
      <w:r w:rsidRPr="007F0630">
        <w:rPr>
          <w:rFonts w:ascii="Times New Roman" w:hAnsi="Times New Roman" w:cs="Times New Roman"/>
          <w:i/>
          <w:iCs/>
          <w:sz w:val="24"/>
          <w:szCs w:val="24"/>
        </w:rPr>
        <w:t xml:space="preserve">Данное исследование финансируется Комитетом науки Министерства науки и высшего образования Республики Казахстан (Программа № </w:t>
      </w:r>
      <w:r w:rsidRPr="007F0630">
        <w:rPr>
          <w:rFonts w:ascii="Times New Roman" w:hAnsi="Times New Roman" w:cs="Times New Roman"/>
          <w:i/>
          <w:iCs/>
          <w:sz w:val="24"/>
          <w:szCs w:val="24"/>
          <w:lang w:val="en-US"/>
        </w:rPr>
        <w:t>BR</w:t>
      </w:r>
      <w:r w:rsidRPr="007F0630">
        <w:rPr>
          <w:rFonts w:ascii="Times New Roman" w:hAnsi="Times New Roman" w:cs="Times New Roman"/>
          <w:i/>
          <w:iCs/>
          <w:sz w:val="24"/>
          <w:szCs w:val="24"/>
        </w:rPr>
        <w:t>24992927).</w:t>
      </w:r>
    </w:p>
    <w:p w14:paraId="46575161" w14:textId="77777777" w:rsidR="007F0630" w:rsidRDefault="007F0630" w:rsidP="007F0630">
      <w:pPr>
        <w:spacing w:after="0"/>
        <w:ind w:firstLine="567"/>
        <w:jc w:val="both"/>
        <w:rPr>
          <w:rFonts w:ascii="Times New Roman" w:hAnsi="Times New Roman" w:cs="Times New Roman"/>
          <w:b/>
          <w:bCs/>
          <w:sz w:val="28"/>
          <w:szCs w:val="28"/>
          <w:lang w:val="en-US"/>
        </w:rPr>
      </w:pPr>
    </w:p>
    <w:p w14:paraId="664EF022" w14:textId="23210F5E" w:rsidR="0015698B" w:rsidRPr="007F0630" w:rsidRDefault="0015698B" w:rsidP="007F0630">
      <w:pPr>
        <w:spacing w:after="0"/>
        <w:ind w:firstLine="567"/>
        <w:jc w:val="both"/>
        <w:rPr>
          <w:rFonts w:ascii="Times New Roman" w:hAnsi="Times New Roman" w:cs="Times New Roman"/>
          <w:b/>
          <w:bCs/>
          <w:sz w:val="24"/>
          <w:szCs w:val="24"/>
          <w:lang w:val="en-US"/>
        </w:rPr>
      </w:pPr>
      <w:r w:rsidRPr="007F0630">
        <w:rPr>
          <w:rFonts w:ascii="Times New Roman" w:hAnsi="Times New Roman" w:cs="Times New Roman"/>
          <w:b/>
          <w:bCs/>
          <w:sz w:val="24"/>
          <w:szCs w:val="24"/>
          <w:lang w:val="en-US"/>
        </w:rPr>
        <w:t>Abstract</w:t>
      </w:r>
    </w:p>
    <w:p w14:paraId="7D5F27CF" w14:textId="77777777" w:rsidR="0015698B" w:rsidRPr="007F0630" w:rsidRDefault="0015698B" w:rsidP="004021D0">
      <w:pPr>
        <w:spacing w:after="0"/>
        <w:ind w:firstLine="567"/>
        <w:jc w:val="both"/>
        <w:rPr>
          <w:rFonts w:ascii="Times New Roman" w:hAnsi="Times New Roman" w:cs="Times New Roman"/>
          <w:i/>
          <w:sz w:val="24"/>
          <w:szCs w:val="24"/>
          <w:lang w:val="en-US"/>
        </w:rPr>
      </w:pPr>
      <w:r w:rsidRPr="007F0630">
        <w:rPr>
          <w:rFonts w:ascii="Times New Roman" w:hAnsi="Times New Roman" w:cs="Times New Roman"/>
          <w:i/>
          <w:sz w:val="24"/>
          <w:szCs w:val="24"/>
          <w:lang w:val="en-US"/>
        </w:rPr>
        <w:t xml:space="preserve">Gambling business in Kazakhstan is one of the types of entrepreneurial activity. In the structure of the country's budget revenues from it occupy a certain niche and play the role of one of the financial sources. Assessment of the revenue stream allows </w:t>
      </w:r>
      <w:proofErr w:type="gramStart"/>
      <w:r w:rsidRPr="007F0630">
        <w:rPr>
          <w:rFonts w:ascii="Times New Roman" w:hAnsi="Times New Roman" w:cs="Times New Roman"/>
          <w:i/>
          <w:sz w:val="24"/>
          <w:szCs w:val="24"/>
          <w:lang w:val="en-US"/>
        </w:rPr>
        <w:t>to refer</w:t>
      </w:r>
      <w:proofErr w:type="gramEnd"/>
      <w:r w:rsidRPr="007F0630">
        <w:rPr>
          <w:rFonts w:ascii="Times New Roman" w:hAnsi="Times New Roman" w:cs="Times New Roman"/>
          <w:i/>
          <w:sz w:val="24"/>
          <w:szCs w:val="24"/>
          <w:lang w:val="en-US"/>
        </w:rPr>
        <w:t xml:space="preserve"> it to insignificant, not having key importance in solving financial and economic problems. In modern market conditions, a reasonable approach implies building up the potential of the gambling business. Such an approach is feasible in the context of the availability of appropriate quality of conditions allowing the development of gambling business by analogy with such countries as, for example, the Principality of Monaco, where gambling is a major contributor to national revenues. At the same time, the development of gambling business </w:t>
      </w:r>
      <w:proofErr w:type="gramStart"/>
      <w:r w:rsidRPr="007F0630">
        <w:rPr>
          <w:rFonts w:ascii="Times New Roman" w:hAnsi="Times New Roman" w:cs="Times New Roman"/>
          <w:i/>
          <w:sz w:val="24"/>
          <w:szCs w:val="24"/>
          <w:lang w:val="en-US"/>
        </w:rPr>
        <w:t>is accompanied</w:t>
      </w:r>
      <w:proofErr w:type="gramEnd"/>
      <w:r w:rsidRPr="007F0630">
        <w:rPr>
          <w:rFonts w:ascii="Times New Roman" w:hAnsi="Times New Roman" w:cs="Times New Roman"/>
          <w:i/>
          <w:sz w:val="24"/>
          <w:szCs w:val="24"/>
          <w:lang w:val="en-US"/>
        </w:rPr>
        <w:t xml:space="preserve"> by the spread of gambling addiction, which is </w:t>
      </w:r>
      <w:proofErr w:type="spellStart"/>
      <w:r w:rsidRPr="007F0630">
        <w:rPr>
          <w:rFonts w:ascii="Times New Roman" w:hAnsi="Times New Roman" w:cs="Times New Roman"/>
          <w:i/>
          <w:sz w:val="24"/>
          <w:szCs w:val="24"/>
          <w:lang w:val="en-US"/>
        </w:rPr>
        <w:t>characterised</w:t>
      </w:r>
      <w:proofErr w:type="spellEnd"/>
      <w:r w:rsidRPr="007F0630">
        <w:rPr>
          <w:rFonts w:ascii="Times New Roman" w:hAnsi="Times New Roman" w:cs="Times New Roman"/>
          <w:i/>
          <w:sz w:val="24"/>
          <w:szCs w:val="24"/>
          <w:lang w:val="en-US"/>
        </w:rPr>
        <w:t xml:space="preserve"> by many negative consequences. Such factors as direct influence on the complex of financial and economic components of the country's life and activity do not allow </w:t>
      </w:r>
      <w:proofErr w:type="gramStart"/>
      <w:r w:rsidRPr="007F0630">
        <w:rPr>
          <w:rFonts w:ascii="Times New Roman" w:hAnsi="Times New Roman" w:cs="Times New Roman"/>
          <w:i/>
          <w:sz w:val="24"/>
          <w:szCs w:val="24"/>
          <w:lang w:val="en-US"/>
        </w:rPr>
        <w:t>to apply</w:t>
      </w:r>
      <w:proofErr w:type="gramEnd"/>
      <w:r w:rsidRPr="007F0630">
        <w:rPr>
          <w:rFonts w:ascii="Times New Roman" w:hAnsi="Times New Roman" w:cs="Times New Roman"/>
          <w:i/>
          <w:sz w:val="24"/>
          <w:szCs w:val="24"/>
          <w:lang w:val="en-US"/>
        </w:rPr>
        <w:t xml:space="preserve"> the policy of strict restriction of gambling business or its complete prohibition. With such an approach, the state budget will suffer certain losses in the form of taxes, gambling business will go into the shadow economy, uncontrolled illegal gambling business will replenish financial sources that feed religious extremism and terrorism, corruption, etc. </w:t>
      </w:r>
    </w:p>
    <w:p w14:paraId="468719C6" w14:textId="77777777" w:rsidR="0015698B" w:rsidRPr="007F0630" w:rsidRDefault="0015698B" w:rsidP="004021D0">
      <w:pPr>
        <w:spacing w:after="0"/>
        <w:ind w:firstLine="567"/>
        <w:jc w:val="both"/>
        <w:rPr>
          <w:rFonts w:ascii="Times New Roman" w:hAnsi="Times New Roman" w:cs="Times New Roman"/>
          <w:i/>
          <w:sz w:val="24"/>
          <w:szCs w:val="24"/>
          <w:lang w:val="en-US"/>
        </w:rPr>
      </w:pPr>
      <w:proofErr w:type="gramStart"/>
      <w:r w:rsidRPr="007F0630">
        <w:rPr>
          <w:rFonts w:ascii="Times New Roman" w:hAnsi="Times New Roman" w:cs="Times New Roman"/>
          <w:i/>
          <w:sz w:val="24"/>
          <w:szCs w:val="24"/>
          <w:lang w:val="en-US"/>
        </w:rPr>
        <w:t>This paper explores ways to achieve an optimal balance between the mechanisms of financial and economic impact in the regulation of relations in the field of gambling business, capable of providing not only effective economic policy, including tax control and incentive sanctions, but also to give excessive gambling addiction signs of business futility of the individual,</w:t>
      </w:r>
      <w:r w:rsidRPr="007F0630">
        <w:rPr>
          <w:rFonts w:ascii="Times New Roman" w:hAnsi="Times New Roman" w:cs="Times New Roman"/>
          <w:b/>
          <w:bCs/>
          <w:i/>
          <w:sz w:val="24"/>
          <w:szCs w:val="24"/>
          <w:lang w:val="en-US"/>
        </w:rPr>
        <w:t xml:space="preserve"> </w:t>
      </w:r>
      <w:r w:rsidRPr="007F0630">
        <w:rPr>
          <w:rFonts w:ascii="Times New Roman" w:hAnsi="Times New Roman" w:cs="Times New Roman"/>
          <w:i/>
          <w:sz w:val="24"/>
          <w:szCs w:val="24"/>
          <w:lang w:val="en-US"/>
        </w:rPr>
        <w:t xml:space="preserve">making unprofitable its transformation into the category of a </w:t>
      </w:r>
      <w:proofErr w:type="spellStart"/>
      <w:r w:rsidRPr="007F0630">
        <w:rPr>
          <w:rFonts w:ascii="Times New Roman" w:hAnsi="Times New Roman" w:cs="Times New Roman"/>
          <w:i/>
          <w:sz w:val="24"/>
          <w:szCs w:val="24"/>
          <w:lang w:val="en-US"/>
        </w:rPr>
        <w:t>ludomaniac</w:t>
      </w:r>
      <w:proofErr w:type="spellEnd"/>
      <w:r w:rsidRPr="007F0630">
        <w:rPr>
          <w:rFonts w:ascii="Times New Roman" w:hAnsi="Times New Roman" w:cs="Times New Roman"/>
          <w:i/>
          <w:sz w:val="24"/>
          <w:szCs w:val="24"/>
          <w:lang w:val="en-US"/>
        </w:rPr>
        <w:t>.</w:t>
      </w:r>
      <w:proofErr w:type="gramEnd"/>
    </w:p>
    <w:p w14:paraId="47F49839" w14:textId="555B0E51" w:rsidR="0015698B" w:rsidRPr="007F0630" w:rsidRDefault="0015698B" w:rsidP="004021D0">
      <w:pPr>
        <w:spacing w:after="0"/>
        <w:ind w:firstLine="567"/>
        <w:jc w:val="both"/>
        <w:rPr>
          <w:rFonts w:ascii="Times New Roman" w:hAnsi="Times New Roman" w:cs="Times New Roman"/>
          <w:b/>
          <w:bCs/>
          <w:i/>
          <w:sz w:val="24"/>
          <w:szCs w:val="24"/>
          <w:lang w:val="en-US"/>
        </w:rPr>
      </w:pPr>
      <w:r w:rsidRPr="007F0630">
        <w:rPr>
          <w:rFonts w:ascii="Times New Roman" w:hAnsi="Times New Roman" w:cs="Times New Roman"/>
          <w:b/>
          <w:bCs/>
          <w:sz w:val="24"/>
          <w:szCs w:val="24"/>
          <w:lang w:val="en-US"/>
        </w:rPr>
        <w:t xml:space="preserve">Key words: </w:t>
      </w:r>
      <w:r w:rsidRPr="007F0630">
        <w:rPr>
          <w:rFonts w:ascii="Times New Roman" w:hAnsi="Times New Roman" w:cs="Times New Roman"/>
          <w:i/>
          <w:sz w:val="24"/>
          <w:szCs w:val="24"/>
          <w:lang w:val="en-US"/>
        </w:rPr>
        <w:t>gambling business, addiction, financial and economic policy, tax policy.</w:t>
      </w:r>
    </w:p>
    <w:p w14:paraId="25528AE9" w14:textId="77777777" w:rsidR="001A0628" w:rsidRPr="007F0630" w:rsidRDefault="001A0628" w:rsidP="004021D0">
      <w:pPr>
        <w:spacing w:after="0"/>
        <w:ind w:firstLine="567"/>
        <w:jc w:val="both"/>
        <w:rPr>
          <w:rFonts w:ascii="Times New Roman" w:hAnsi="Times New Roman" w:cs="Times New Roman"/>
          <w:i/>
          <w:iCs/>
          <w:sz w:val="24"/>
          <w:szCs w:val="24"/>
          <w:lang w:val="en-US"/>
        </w:rPr>
      </w:pPr>
    </w:p>
    <w:p w14:paraId="6BE402F6" w14:textId="77777777" w:rsidR="001A0628" w:rsidRPr="007F0630" w:rsidRDefault="001A0628" w:rsidP="004021D0">
      <w:pPr>
        <w:spacing w:after="0"/>
        <w:ind w:firstLine="567"/>
        <w:jc w:val="both"/>
        <w:rPr>
          <w:rFonts w:ascii="Times New Roman" w:hAnsi="Times New Roman" w:cs="Times New Roman"/>
          <w:i/>
          <w:iCs/>
          <w:sz w:val="24"/>
          <w:szCs w:val="24"/>
        </w:rPr>
      </w:pPr>
      <w:proofErr w:type="gramStart"/>
      <w:r w:rsidRPr="007F0630">
        <w:rPr>
          <w:rFonts w:ascii="Times New Roman" w:hAnsi="Times New Roman" w:cs="Times New Roman"/>
          <w:i/>
          <w:iCs/>
          <w:sz w:val="24"/>
          <w:szCs w:val="24"/>
          <w:lang w:val="en-US"/>
        </w:rPr>
        <w:t>This research is funded by the Committee of Science of the Ministry of Science and Higher Education of the Republic of Kazakhstan (Grant No.</w:t>
      </w:r>
      <w:proofErr w:type="gramEnd"/>
      <w:r w:rsidRPr="007F0630">
        <w:rPr>
          <w:rFonts w:ascii="Times New Roman" w:hAnsi="Times New Roman" w:cs="Times New Roman"/>
          <w:i/>
          <w:iCs/>
          <w:sz w:val="24"/>
          <w:szCs w:val="24"/>
          <w:lang w:val="en-US"/>
        </w:rPr>
        <w:t xml:space="preserve"> BR</w:t>
      </w:r>
      <w:r w:rsidRPr="007F0630">
        <w:rPr>
          <w:rFonts w:ascii="Times New Roman" w:hAnsi="Times New Roman" w:cs="Times New Roman"/>
          <w:i/>
          <w:iCs/>
          <w:sz w:val="24"/>
          <w:szCs w:val="24"/>
        </w:rPr>
        <w:t>24992927).</w:t>
      </w:r>
    </w:p>
    <w:p w14:paraId="52FE2136" w14:textId="77777777" w:rsidR="001A0628" w:rsidRDefault="0015698B" w:rsidP="004021D0">
      <w:pPr>
        <w:spacing w:after="0"/>
        <w:ind w:firstLine="567"/>
        <w:jc w:val="both"/>
        <w:rPr>
          <w:rFonts w:ascii="Times New Roman" w:hAnsi="Times New Roman" w:cs="Times New Roman"/>
          <w:b/>
          <w:bCs/>
          <w:sz w:val="28"/>
          <w:szCs w:val="28"/>
        </w:rPr>
      </w:pPr>
      <w:r w:rsidRPr="00386877">
        <w:rPr>
          <w:rFonts w:ascii="Times New Roman" w:hAnsi="Times New Roman" w:cs="Times New Roman"/>
          <w:b/>
          <w:bCs/>
          <w:sz w:val="28"/>
          <w:szCs w:val="28"/>
        </w:rPr>
        <w:t xml:space="preserve">  </w:t>
      </w:r>
    </w:p>
    <w:p w14:paraId="1B0F51FD" w14:textId="1ED9D3FA" w:rsidR="0015698B" w:rsidRPr="00386877" w:rsidRDefault="0015698B" w:rsidP="004021D0">
      <w:pPr>
        <w:spacing w:after="0"/>
        <w:ind w:firstLine="567"/>
        <w:jc w:val="both"/>
        <w:rPr>
          <w:rFonts w:ascii="Times New Roman" w:hAnsi="Times New Roman" w:cs="Times New Roman"/>
          <w:b/>
          <w:bCs/>
          <w:sz w:val="28"/>
          <w:szCs w:val="28"/>
        </w:rPr>
      </w:pPr>
      <w:r w:rsidRPr="00386877">
        <w:rPr>
          <w:rFonts w:ascii="Times New Roman" w:hAnsi="Times New Roman" w:cs="Times New Roman"/>
          <w:b/>
          <w:bCs/>
          <w:sz w:val="28"/>
          <w:szCs w:val="28"/>
        </w:rPr>
        <w:t>Введение</w:t>
      </w:r>
    </w:p>
    <w:p w14:paraId="35C90691" w14:textId="74BC8D0A" w:rsidR="0015698B" w:rsidRPr="00386877" w:rsidRDefault="0015698B" w:rsidP="004021D0">
      <w:pPr>
        <w:spacing w:after="0"/>
        <w:ind w:firstLine="567"/>
        <w:jc w:val="both"/>
        <w:rPr>
          <w:rFonts w:ascii="Times New Roman" w:hAnsi="Times New Roman" w:cs="Times New Roman"/>
          <w:b/>
          <w:bCs/>
          <w:sz w:val="28"/>
          <w:szCs w:val="28"/>
        </w:rPr>
      </w:pPr>
      <w:r w:rsidRPr="00386877">
        <w:rPr>
          <w:rFonts w:ascii="Times New Roman" w:hAnsi="Times New Roman" w:cs="Times New Roman"/>
          <w:sz w:val="28"/>
          <w:szCs w:val="28"/>
        </w:rPr>
        <w:t>Актуальность настоящего исследования обусловлена следующими факторами:</w:t>
      </w:r>
    </w:p>
    <w:p w14:paraId="7C0DB03B" w14:textId="007BAD13"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t>- недостаточная развитость игровой индустрии в Казахстане в контексте туристского кластера;</w:t>
      </w:r>
    </w:p>
    <w:p w14:paraId="342EB32E" w14:textId="23AB6FDF"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t>- чрезмерно жесткая налоговая политика в области игорного бизнеса;</w:t>
      </w:r>
    </w:p>
    <w:p w14:paraId="7E9CCD57" w14:textId="02EF79CF"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t>- развитие теневого игорного бизнеса, влекущего уход от обязательных налоговых отчислений;</w:t>
      </w:r>
    </w:p>
    <w:p w14:paraId="607E7671" w14:textId="5A221708"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t xml:space="preserve">- расширение перечня негативных социально значимых последствий как непосредственно для ближайшего окружения </w:t>
      </w:r>
      <w:proofErr w:type="spellStart"/>
      <w:r w:rsidRPr="00386877">
        <w:rPr>
          <w:rFonts w:ascii="Times New Roman" w:hAnsi="Times New Roman" w:cs="Times New Roman"/>
          <w:sz w:val="28"/>
          <w:szCs w:val="28"/>
        </w:rPr>
        <w:t>лудомана</w:t>
      </w:r>
      <w:proofErr w:type="spellEnd"/>
      <w:r w:rsidRPr="00386877">
        <w:rPr>
          <w:rFonts w:ascii="Times New Roman" w:hAnsi="Times New Roman" w:cs="Times New Roman"/>
          <w:sz w:val="28"/>
          <w:szCs w:val="28"/>
        </w:rPr>
        <w:t xml:space="preserve"> (семьи, сокурсников, коллег по профессии др.), так и для общества в целом;</w:t>
      </w:r>
    </w:p>
    <w:p w14:paraId="6E92C65B" w14:textId="2009C232"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t>- рост количества лиц, страдающих игровой зависимостью, с признаками психических и/или психиатрических отклонений, выявление и реабилитация которых потребует значительных финансовых затрат.</w:t>
      </w:r>
    </w:p>
    <w:p w14:paraId="0FD09430" w14:textId="0D8A22E3"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lastRenderedPageBreak/>
        <w:t xml:space="preserve"> Динамика развития предпринимательства в области игорного бизнеса характеризуется сложностью и неустойчивостью. Так, по данным Бюро национальной статистики, за период с 2017 по 2024 гг. количество предприятий и индивидуальных предпринимателей, оказывающих услуги по организации азартных игр и заключению пари, снизилось со 109 в 2017 г. до 28 – в 2024 г., то есть в 3,8 раза. При этом объемы оказанных услуг в области организации и проведения азартных игр и заключению пари за этот же период возросли многократно: в 2017 г. оказано таких услуг на 15,6 млрд тенге (3,12 млрд рублей); в 2022 г. – 572,1 млрд тенге (114,42 млрд рублей). По данным Агентства Республики Казахстан по финансовому мониторингу (далее – АФМ РК) на сегодняшний день (при населении 20 095 980 человек) числится более 400 тысяч игроманов (примерно каждый 50-ый). Приведенные данные отражают недостаточную степень эффективности финансово-экономических механизмов регулирования отношений в игорном бизнесе, в деле противодействия росту незаконного предпринимательства и распространении лудомании. </w:t>
      </w:r>
    </w:p>
    <w:p w14:paraId="4FD1A41E" w14:textId="713A8E46"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t xml:space="preserve"> Наряду с изложенным, в ряде стран экономический эффект от игорного бизнеса достаточно высок. При этом ведущее место отводится лотереям. Об этом свидетельствуют исследования, проведенные Э. </w:t>
      </w:r>
      <w:proofErr w:type="spellStart"/>
      <w:r w:rsidRPr="00386877">
        <w:rPr>
          <w:rFonts w:ascii="Times New Roman" w:hAnsi="Times New Roman" w:cs="Times New Roman"/>
          <w:sz w:val="28"/>
          <w:szCs w:val="28"/>
        </w:rPr>
        <w:t>Лайлиевой</w:t>
      </w:r>
      <w:proofErr w:type="spellEnd"/>
      <w:r w:rsidRPr="00386877">
        <w:rPr>
          <w:rFonts w:ascii="Times New Roman" w:hAnsi="Times New Roman" w:cs="Times New Roman"/>
          <w:sz w:val="28"/>
          <w:szCs w:val="28"/>
        </w:rPr>
        <w:t xml:space="preserve"> (2024)</w:t>
      </w:r>
      <w:r w:rsidR="00D23965">
        <w:rPr>
          <w:rFonts w:ascii="Times New Roman" w:hAnsi="Times New Roman" w:cs="Times New Roman"/>
          <w:sz w:val="28"/>
          <w:szCs w:val="28"/>
        </w:rPr>
        <w:t>, Н.</w:t>
      </w:r>
      <w:r w:rsidRPr="00386877">
        <w:rPr>
          <w:rFonts w:ascii="Times New Roman" w:hAnsi="Times New Roman" w:cs="Times New Roman"/>
          <w:sz w:val="28"/>
          <w:szCs w:val="28"/>
        </w:rPr>
        <w:t xml:space="preserve">И.  </w:t>
      </w:r>
      <w:proofErr w:type="spellStart"/>
      <w:r w:rsidRPr="00386877">
        <w:rPr>
          <w:rFonts w:ascii="Times New Roman" w:hAnsi="Times New Roman" w:cs="Times New Roman"/>
          <w:sz w:val="28"/>
          <w:szCs w:val="28"/>
        </w:rPr>
        <w:t>Малис</w:t>
      </w:r>
      <w:proofErr w:type="spellEnd"/>
      <w:r w:rsidRPr="00386877">
        <w:rPr>
          <w:rFonts w:ascii="Times New Roman" w:hAnsi="Times New Roman" w:cs="Times New Roman"/>
          <w:sz w:val="28"/>
          <w:szCs w:val="28"/>
        </w:rPr>
        <w:t xml:space="preserve"> и   Ф.</w:t>
      </w:r>
      <w:r w:rsidR="00D23965">
        <w:rPr>
          <w:rFonts w:ascii="Times New Roman" w:hAnsi="Times New Roman" w:cs="Times New Roman"/>
          <w:sz w:val="28"/>
          <w:szCs w:val="28"/>
        </w:rPr>
        <w:t xml:space="preserve">Т. </w:t>
      </w:r>
      <w:proofErr w:type="spellStart"/>
      <w:r w:rsidR="00D23965">
        <w:rPr>
          <w:rFonts w:ascii="Times New Roman" w:hAnsi="Times New Roman" w:cs="Times New Roman"/>
          <w:sz w:val="28"/>
          <w:szCs w:val="28"/>
        </w:rPr>
        <w:t>Багдаевой</w:t>
      </w:r>
      <w:proofErr w:type="spellEnd"/>
      <w:r w:rsidR="00D23965">
        <w:rPr>
          <w:rFonts w:ascii="Times New Roman" w:hAnsi="Times New Roman" w:cs="Times New Roman"/>
          <w:sz w:val="28"/>
          <w:szCs w:val="28"/>
        </w:rPr>
        <w:t>, Н.Н. Бесчастнова и К.</w:t>
      </w:r>
      <w:r w:rsidRPr="00386877">
        <w:rPr>
          <w:rFonts w:ascii="Times New Roman" w:hAnsi="Times New Roman" w:cs="Times New Roman"/>
          <w:sz w:val="28"/>
          <w:szCs w:val="28"/>
        </w:rPr>
        <w:t>Ю. Егорова [1].</w:t>
      </w:r>
    </w:p>
    <w:p w14:paraId="3891F2F5" w14:textId="4108C35C" w:rsidR="0015698B" w:rsidRPr="00386877" w:rsidRDefault="0015698B" w:rsidP="004021D0">
      <w:pPr>
        <w:spacing w:after="0"/>
        <w:ind w:firstLine="567"/>
        <w:jc w:val="both"/>
        <w:rPr>
          <w:rFonts w:ascii="Times New Roman" w:hAnsi="Times New Roman" w:cs="Times New Roman"/>
          <w:sz w:val="28"/>
          <w:szCs w:val="28"/>
        </w:rPr>
      </w:pPr>
      <w:r w:rsidRPr="00386877">
        <w:rPr>
          <w:rFonts w:ascii="Times New Roman" w:hAnsi="Times New Roman" w:cs="Times New Roman"/>
          <w:sz w:val="28"/>
          <w:szCs w:val="28"/>
        </w:rPr>
        <w:t>Цель исследования – формулирование предложений по оптимальной модели регулирования финасово-экономических отношений в области игорного бизнеса, направленных на создание благоприятных условий, способствующих эволюционному внедрению игровой индустрии в лице игорного бизнеса, включая азартные игры, в туристский кластер.</w:t>
      </w:r>
    </w:p>
    <w:p w14:paraId="0F064B32" w14:textId="7A95C28A" w:rsidR="0015698B" w:rsidRPr="00386877" w:rsidRDefault="0005379F" w:rsidP="004021D0">
      <w:pPr>
        <w:spacing w:after="0"/>
        <w:ind w:firstLine="567"/>
        <w:jc w:val="both"/>
        <w:rPr>
          <w:rFonts w:ascii="Times New Roman" w:hAnsi="Times New Roman" w:cs="Times New Roman"/>
          <w:sz w:val="28"/>
          <w:szCs w:val="28"/>
        </w:rPr>
      </w:pPr>
      <w:r w:rsidRPr="0005379F">
        <w:rPr>
          <w:rFonts w:ascii="Times New Roman" w:hAnsi="Times New Roman" w:cs="Times New Roman"/>
          <w:b/>
          <w:sz w:val="28"/>
          <w:szCs w:val="28"/>
          <w:lang w:val="kk-KZ"/>
        </w:rPr>
        <w:t>Материалы и методы.</w:t>
      </w:r>
      <w:r>
        <w:rPr>
          <w:rFonts w:ascii="Times New Roman" w:hAnsi="Times New Roman" w:cs="Times New Roman"/>
          <w:sz w:val="28"/>
          <w:szCs w:val="28"/>
          <w:lang w:val="kk-KZ"/>
        </w:rPr>
        <w:t xml:space="preserve"> </w:t>
      </w:r>
      <w:r w:rsidR="0015698B" w:rsidRPr="00386877">
        <w:rPr>
          <w:rFonts w:ascii="Times New Roman" w:hAnsi="Times New Roman" w:cs="Times New Roman"/>
          <w:sz w:val="28"/>
          <w:szCs w:val="28"/>
        </w:rPr>
        <w:t>Методы исследования – логико-правовой, аналитический, статистический и др.</w:t>
      </w:r>
      <w:r>
        <w:rPr>
          <w:rFonts w:ascii="Times New Roman" w:hAnsi="Times New Roman" w:cs="Times New Roman"/>
          <w:sz w:val="28"/>
          <w:szCs w:val="28"/>
          <w:lang w:val="kk-KZ"/>
        </w:rPr>
        <w:t xml:space="preserve"> </w:t>
      </w:r>
      <w:r w:rsidR="0015698B" w:rsidRPr="00386877">
        <w:rPr>
          <w:rFonts w:ascii="Times New Roman" w:hAnsi="Times New Roman" w:cs="Times New Roman"/>
          <w:sz w:val="28"/>
          <w:szCs w:val="28"/>
        </w:rPr>
        <w:t>Источники – нормативные правовые акты, данные официальной статистики, научно-исследовательская литература, интернет-ресурсы.</w:t>
      </w:r>
    </w:p>
    <w:p w14:paraId="59FC73A0" w14:textId="1489E812" w:rsidR="0015698B" w:rsidRPr="001A0628" w:rsidRDefault="0005379F" w:rsidP="004021D0">
      <w:pPr>
        <w:spacing w:after="0"/>
        <w:ind w:firstLine="567"/>
        <w:jc w:val="both"/>
        <w:rPr>
          <w:rFonts w:ascii="Times New Roman" w:hAnsi="Times New Roman" w:cs="Times New Roman"/>
          <w:sz w:val="28"/>
          <w:szCs w:val="28"/>
        </w:rPr>
      </w:pPr>
      <w:r w:rsidRPr="0005379F">
        <w:rPr>
          <w:rFonts w:ascii="Times New Roman" w:hAnsi="Times New Roman" w:cs="Times New Roman"/>
          <w:b/>
          <w:sz w:val="28"/>
          <w:szCs w:val="28"/>
        </w:rPr>
        <w:t>Результаты, обсуждение.</w:t>
      </w:r>
      <w:r>
        <w:rPr>
          <w:rFonts w:ascii="Times New Roman" w:hAnsi="Times New Roman" w:cs="Times New Roman"/>
          <w:b/>
          <w:sz w:val="28"/>
          <w:szCs w:val="28"/>
          <w:lang w:val="kk-KZ"/>
        </w:rPr>
        <w:t xml:space="preserve"> </w:t>
      </w:r>
      <w:r w:rsidR="0015698B" w:rsidRPr="001A0628">
        <w:rPr>
          <w:rFonts w:ascii="Times New Roman" w:hAnsi="Times New Roman" w:cs="Times New Roman"/>
          <w:sz w:val="28"/>
          <w:szCs w:val="28"/>
        </w:rPr>
        <w:t>Законодательство Казахстана в области игорного бизнеса достаточно обширное. Оно охватывается как самостоятельными законами, ориентированными на регулирование отношений непосредственно в искомой области, так и иными отраслевыми законами, связанными с игорным бизнесом. Основной правовой источник – Закон РК «Об игорном бизнесе» [2]. Признание игорного бизнеса как игровой индустрии, нуждающейся в усовершенствовании правовых механизмов контроля и регулирования соответствующих отношений, осуществлено путем создания Государственного учреждения «Комитет по регулированию игорного бизнеса и лотереи» (далее – Комитет) на основе реорганизации Комитета индустрии туризма Министерства туризма и спорта Республики Казахстан и выделения из него названного Комитета [3]. Согласно Положению о Комитете, на вновь образованное государственное учреждение возложены задачи:</w:t>
      </w:r>
    </w:p>
    <w:p w14:paraId="44EC9D5D" w14:textId="464B86AD"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lastRenderedPageBreak/>
        <w:t>- реализация Комплексного плана по противодействию незаконному игорному бизнесу и лудомании в Республике Казахстан на 2024-2026 гг. [4];</w:t>
      </w:r>
    </w:p>
    <w:p w14:paraId="445DC344" w14:textId="02F0A7C1"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регулирования игорного бизнеса и лотереи;</w:t>
      </w:r>
    </w:p>
    <w:p w14:paraId="5C18D04F" w14:textId="00BC8A81"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борьба с незаконными азартными играми и лотереями в интернете;</w:t>
      </w:r>
    </w:p>
    <w:p w14:paraId="3EFC40EA" w14:textId="479D1529"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государственный контроль в сфере игорного бизнеса и лотерей;</w:t>
      </w:r>
    </w:p>
    <w:p w14:paraId="6E531F28" w14:textId="2C833F81"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 - составление списков легальных и нелегальных организаторов игорного бизнеса;</w:t>
      </w:r>
    </w:p>
    <w:p w14:paraId="05DF2CAF" w14:textId="5AE0ADC9"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проведение разъяснительной работы по вопросам, возникающим в сферах игорного бизнеса и лотерей [5].</w:t>
      </w:r>
    </w:p>
    <w:p w14:paraId="5DC1DF75" w14:textId="6F0659B5"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Реализация этих задач вновь созданным Комитетом объективно будет сопровождаться таким эффектом, как оказание противодействия распространению лудомании. Эффект социально востребованный, что означает целесообразность нормативного закрепления соответствующей задачи в Положении о Комитете по регулированию игорного бизнеса и лотереи в следующей редакции: «оказание противодействия распространению лудомании путем разработки и внедрения модернизированных форм ее профилактики», разместив ее после второй задачи, посвященной борьбе с незаконными азартными играми и лотереями в интернете.</w:t>
      </w:r>
    </w:p>
    <w:p w14:paraId="182911D0" w14:textId="281B96DE" w:rsidR="00D23965"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Если рассматривать игорный бизнес в качестве одного из компонентов в системе инструментов развития туристского потенциала Казахстана, то игровая индустрия должна оцениваться с точки зрения ее доходности. Создание благоприятных условий для туризма одновременно будет означать включение в этот круг новых услуг – предоставление возможности провести время в залах игровых автоматов, а также в традиционных казино. Обеспечение надлежащих условий в этом направлении должно осуществляться путем создания и применения эффективных способов противодействия правонарушениям, росту теневого игорного бизнеса. Экономические показатели в этой с</w:t>
      </w:r>
      <w:r w:rsidR="00D23965">
        <w:rPr>
          <w:rFonts w:ascii="Times New Roman" w:hAnsi="Times New Roman" w:cs="Times New Roman"/>
          <w:sz w:val="28"/>
          <w:szCs w:val="28"/>
        </w:rPr>
        <w:t>фере приведены в таблице 1</w:t>
      </w:r>
      <w:r w:rsidRPr="001A0628">
        <w:rPr>
          <w:rFonts w:ascii="Times New Roman" w:hAnsi="Times New Roman" w:cs="Times New Roman"/>
          <w:sz w:val="28"/>
          <w:szCs w:val="28"/>
        </w:rPr>
        <w:t xml:space="preserve">:                                                                                                                               </w:t>
      </w:r>
    </w:p>
    <w:p w14:paraId="1AA12F14" w14:textId="6FC8424F"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Таблица 1.</w:t>
      </w:r>
    </w:p>
    <w:p w14:paraId="3497D6FA" w14:textId="77777777" w:rsidR="0015698B" w:rsidRPr="0005379F" w:rsidRDefault="0015698B" w:rsidP="004021D0">
      <w:pPr>
        <w:spacing w:after="0"/>
        <w:ind w:firstLine="567"/>
        <w:jc w:val="both"/>
        <w:rPr>
          <w:rFonts w:ascii="Times New Roman" w:hAnsi="Times New Roman" w:cs="Times New Roman"/>
          <w:bCs/>
          <w:sz w:val="28"/>
          <w:szCs w:val="28"/>
        </w:rPr>
      </w:pPr>
      <w:r w:rsidRPr="0005379F">
        <w:rPr>
          <w:rFonts w:ascii="Times New Roman" w:hAnsi="Times New Roman" w:cs="Times New Roman"/>
          <w:bCs/>
          <w:sz w:val="28"/>
          <w:szCs w:val="28"/>
        </w:rPr>
        <w:t>Показатели объемов оказанных услуг в игорном бизнесе РК и поступлений налоговых отчислений в бюджет (в млрд тенге) за период 2017-2024 гг.</w:t>
      </w:r>
    </w:p>
    <w:tbl>
      <w:tblPr>
        <w:tblStyle w:val="ad"/>
        <w:tblW w:w="0" w:type="auto"/>
        <w:tblLook w:val="04A0" w:firstRow="1" w:lastRow="0" w:firstColumn="1" w:lastColumn="0" w:noHBand="0" w:noVBand="1"/>
      </w:tblPr>
      <w:tblGrid>
        <w:gridCol w:w="1383"/>
        <w:gridCol w:w="2171"/>
        <w:gridCol w:w="2967"/>
        <w:gridCol w:w="3107"/>
      </w:tblGrid>
      <w:tr w:rsidR="0015698B" w:rsidRPr="0005379F" w14:paraId="3419B83F" w14:textId="77777777" w:rsidTr="00386877">
        <w:tc>
          <w:tcPr>
            <w:tcW w:w="1129" w:type="dxa"/>
          </w:tcPr>
          <w:p w14:paraId="401EFDF3" w14:textId="77777777" w:rsidR="0015698B" w:rsidRPr="0005379F" w:rsidRDefault="0015698B" w:rsidP="00FB5DA9">
            <w:pPr>
              <w:ind w:firstLine="567"/>
              <w:jc w:val="center"/>
              <w:rPr>
                <w:rFonts w:ascii="Times New Roman" w:hAnsi="Times New Roman" w:cs="Times New Roman"/>
                <w:bCs/>
                <w:sz w:val="28"/>
                <w:szCs w:val="28"/>
              </w:rPr>
            </w:pPr>
            <w:r w:rsidRPr="0005379F">
              <w:rPr>
                <w:rFonts w:ascii="Times New Roman" w:hAnsi="Times New Roman" w:cs="Times New Roman"/>
                <w:bCs/>
                <w:sz w:val="28"/>
                <w:szCs w:val="28"/>
              </w:rPr>
              <w:t>Годы</w:t>
            </w:r>
          </w:p>
        </w:tc>
        <w:tc>
          <w:tcPr>
            <w:tcW w:w="1843" w:type="dxa"/>
          </w:tcPr>
          <w:p w14:paraId="000137E9" w14:textId="77777777" w:rsidR="0015698B" w:rsidRPr="0005379F" w:rsidRDefault="0015698B" w:rsidP="00FB5DA9">
            <w:pPr>
              <w:ind w:firstLine="567"/>
              <w:jc w:val="center"/>
              <w:rPr>
                <w:rFonts w:ascii="Times New Roman" w:hAnsi="Times New Roman" w:cs="Times New Roman"/>
                <w:bCs/>
                <w:sz w:val="28"/>
                <w:szCs w:val="28"/>
              </w:rPr>
            </w:pPr>
            <w:r w:rsidRPr="0005379F">
              <w:rPr>
                <w:rFonts w:ascii="Times New Roman" w:hAnsi="Times New Roman" w:cs="Times New Roman"/>
                <w:bCs/>
                <w:sz w:val="28"/>
                <w:szCs w:val="28"/>
              </w:rPr>
              <w:t>Количество игорных заведений</w:t>
            </w:r>
          </w:p>
        </w:tc>
        <w:tc>
          <w:tcPr>
            <w:tcW w:w="2977" w:type="dxa"/>
          </w:tcPr>
          <w:p w14:paraId="49CA96F2" w14:textId="77777777" w:rsidR="0015698B" w:rsidRPr="0005379F" w:rsidRDefault="0015698B" w:rsidP="00FB5DA9">
            <w:pPr>
              <w:ind w:firstLine="567"/>
              <w:jc w:val="center"/>
              <w:rPr>
                <w:rFonts w:ascii="Times New Roman" w:hAnsi="Times New Roman" w:cs="Times New Roman"/>
                <w:bCs/>
                <w:sz w:val="28"/>
                <w:szCs w:val="28"/>
              </w:rPr>
            </w:pPr>
            <w:r w:rsidRPr="0005379F">
              <w:rPr>
                <w:rFonts w:ascii="Times New Roman" w:hAnsi="Times New Roman" w:cs="Times New Roman"/>
                <w:bCs/>
                <w:sz w:val="28"/>
                <w:szCs w:val="28"/>
              </w:rPr>
              <w:t>Объемы оказанных услуг по организации азартных игр и заключению пари (млрд тенге)</w:t>
            </w:r>
          </w:p>
        </w:tc>
        <w:tc>
          <w:tcPr>
            <w:tcW w:w="3118" w:type="dxa"/>
          </w:tcPr>
          <w:p w14:paraId="7C0DAFAF" w14:textId="77777777" w:rsidR="0015698B" w:rsidRPr="0005379F" w:rsidRDefault="0015698B" w:rsidP="00FB5DA9">
            <w:pPr>
              <w:ind w:firstLine="567"/>
              <w:jc w:val="center"/>
              <w:rPr>
                <w:rFonts w:ascii="Times New Roman" w:hAnsi="Times New Roman" w:cs="Times New Roman"/>
                <w:bCs/>
                <w:sz w:val="28"/>
                <w:szCs w:val="28"/>
              </w:rPr>
            </w:pPr>
            <w:r w:rsidRPr="0005379F">
              <w:rPr>
                <w:rFonts w:ascii="Times New Roman" w:hAnsi="Times New Roman" w:cs="Times New Roman"/>
                <w:bCs/>
                <w:sz w:val="28"/>
                <w:szCs w:val="28"/>
              </w:rPr>
              <w:t>Объемы поступивших в бюджет налоговых отчислений от игорного бизнеса (млрд тенге)</w:t>
            </w:r>
          </w:p>
        </w:tc>
      </w:tr>
      <w:tr w:rsidR="0015698B" w:rsidRPr="001A0628" w14:paraId="4B12C81C" w14:textId="77777777" w:rsidTr="00386877">
        <w:tc>
          <w:tcPr>
            <w:tcW w:w="1129" w:type="dxa"/>
          </w:tcPr>
          <w:p w14:paraId="59BE2379"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t>2017</w:t>
            </w:r>
          </w:p>
        </w:tc>
        <w:tc>
          <w:tcPr>
            <w:tcW w:w="1843" w:type="dxa"/>
          </w:tcPr>
          <w:p w14:paraId="6E63C9F2"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109</w:t>
            </w:r>
          </w:p>
        </w:tc>
        <w:tc>
          <w:tcPr>
            <w:tcW w:w="2977" w:type="dxa"/>
          </w:tcPr>
          <w:p w14:paraId="054745D3"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15,6</w:t>
            </w:r>
          </w:p>
        </w:tc>
        <w:tc>
          <w:tcPr>
            <w:tcW w:w="3118" w:type="dxa"/>
          </w:tcPr>
          <w:p w14:paraId="1A4E5B57" w14:textId="5C52CE62" w:rsidR="0015698B" w:rsidRPr="001A0628" w:rsidRDefault="0015698B" w:rsidP="00FB5DA9">
            <w:pPr>
              <w:ind w:firstLine="567"/>
              <w:jc w:val="center"/>
              <w:rPr>
                <w:rFonts w:ascii="Times New Roman" w:hAnsi="Times New Roman" w:cs="Times New Roman"/>
                <w:sz w:val="28"/>
                <w:szCs w:val="28"/>
                <w:lang w:val="en-US"/>
              </w:rPr>
            </w:pPr>
            <w:r w:rsidRPr="001A0628">
              <w:rPr>
                <w:rFonts w:ascii="Times New Roman" w:hAnsi="Times New Roman" w:cs="Times New Roman"/>
                <w:sz w:val="28"/>
                <w:szCs w:val="28"/>
              </w:rPr>
              <w:t>11,</w:t>
            </w:r>
            <w:r w:rsidRPr="001A0628">
              <w:rPr>
                <w:rFonts w:ascii="Times New Roman" w:hAnsi="Times New Roman" w:cs="Times New Roman"/>
                <w:sz w:val="28"/>
                <w:szCs w:val="28"/>
                <w:lang w:val="en-US"/>
              </w:rPr>
              <w:t>7</w:t>
            </w:r>
          </w:p>
        </w:tc>
      </w:tr>
      <w:tr w:rsidR="0015698B" w:rsidRPr="001A0628" w14:paraId="39BC84CB" w14:textId="77777777" w:rsidTr="00386877">
        <w:tc>
          <w:tcPr>
            <w:tcW w:w="1129" w:type="dxa"/>
          </w:tcPr>
          <w:p w14:paraId="2A93BA28"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t>2018</w:t>
            </w:r>
          </w:p>
        </w:tc>
        <w:tc>
          <w:tcPr>
            <w:tcW w:w="1843" w:type="dxa"/>
          </w:tcPr>
          <w:p w14:paraId="00595E29"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104</w:t>
            </w:r>
          </w:p>
        </w:tc>
        <w:tc>
          <w:tcPr>
            <w:tcW w:w="2977" w:type="dxa"/>
          </w:tcPr>
          <w:p w14:paraId="7F7E0543"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18,0</w:t>
            </w:r>
          </w:p>
        </w:tc>
        <w:tc>
          <w:tcPr>
            <w:tcW w:w="3118" w:type="dxa"/>
          </w:tcPr>
          <w:p w14:paraId="209CC84A" w14:textId="77777777" w:rsidR="0015698B" w:rsidRPr="001A0628" w:rsidRDefault="0015698B" w:rsidP="00FB5DA9">
            <w:pPr>
              <w:ind w:firstLine="567"/>
              <w:jc w:val="center"/>
              <w:rPr>
                <w:rFonts w:ascii="Times New Roman" w:hAnsi="Times New Roman" w:cs="Times New Roman"/>
                <w:sz w:val="28"/>
                <w:szCs w:val="28"/>
                <w:lang w:val="en-US"/>
              </w:rPr>
            </w:pPr>
            <w:r w:rsidRPr="001A0628">
              <w:rPr>
                <w:rFonts w:ascii="Times New Roman" w:hAnsi="Times New Roman" w:cs="Times New Roman"/>
                <w:sz w:val="28"/>
                <w:szCs w:val="28"/>
                <w:lang w:val="en-US"/>
              </w:rPr>
              <w:t>15,6</w:t>
            </w:r>
          </w:p>
        </w:tc>
      </w:tr>
      <w:tr w:rsidR="0015698B" w:rsidRPr="001A0628" w14:paraId="5D99AF3C" w14:textId="77777777" w:rsidTr="00386877">
        <w:tc>
          <w:tcPr>
            <w:tcW w:w="1129" w:type="dxa"/>
          </w:tcPr>
          <w:p w14:paraId="103F2548"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t>2019</w:t>
            </w:r>
          </w:p>
        </w:tc>
        <w:tc>
          <w:tcPr>
            <w:tcW w:w="1843" w:type="dxa"/>
          </w:tcPr>
          <w:p w14:paraId="61860436"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94</w:t>
            </w:r>
          </w:p>
        </w:tc>
        <w:tc>
          <w:tcPr>
            <w:tcW w:w="2977" w:type="dxa"/>
          </w:tcPr>
          <w:p w14:paraId="6D5C6946"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13,6</w:t>
            </w:r>
          </w:p>
        </w:tc>
        <w:tc>
          <w:tcPr>
            <w:tcW w:w="3118" w:type="dxa"/>
          </w:tcPr>
          <w:p w14:paraId="0D3FA495" w14:textId="6FC4735E"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551,0</w:t>
            </w:r>
          </w:p>
        </w:tc>
      </w:tr>
      <w:tr w:rsidR="0015698B" w:rsidRPr="001A0628" w14:paraId="781FBAE0" w14:textId="77777777" w:rsidTr="00386877">
        <w:tc>
          <w:tcPr>
            <w:tcW w:w="1129" w:type="dxa"/>
          </w:tcPr>
          <w:p w14:paraId="6BE47918"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t>2020</w:t>
            </w:r>
          </w:p>
        </w:tc>
        <w:tc>
          <w:tcPr>
            <w:tcW w:w="1843" w:type="dxa"/>
          </w:tcPr>
          <w:p w14:paraId="370687ED"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93</w:t>
            </w:r>
          </w:p>
        </w:tc>
        <w:tc>
          <w:tcPr>
            <w:tcW w:w="2977" w:type="dxa"/>
          </w:tcPr>
          <w:p w14:paraId="109972D5"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89,7</w:t>
            </w:r>
          </w:p>
        </w:tc>
        <w:tc>
          <w:tcPr>
            <w:tcW w:w="3118" w:type="dxa"/>
          </w:tcPr>
          <w:p w14:paraId="69D6FFC9" w14:textId="5E8AE152" w:rsidR="0015698B" w:rsidRPr="001A0628" w:rsidRDefault="0015698B" w:rsidP="00FB5DA9">
            <w:pPr>
              <w:ind w:firstLine="567"/>
              <w:jc w:val="center"/>
              <w:rPr>
                <w:rFonts w:ascii="Times New Roman" w:hAnsi="Times New Roman" w:cs="Times New Roman"/>
                <w:sz w:val="28"/>
                <w:szCs w:val="28"/>
                <w:lang w:val="en-US"/>
              </w:rPr>
            </w:pPr>
            <w:r w:rsidRPr="001A0628">
              <w:rPr>
                <w:rFonts w:ascii="Times New Roman" w:hAnsi="Times New Roman" w:cs="Times New Roman"/>
                <w:sz w:val="28"/>
                <w:szCs w:val="28"/>
                <w:lang w:val="en-US"/>
              </w:rPr>
              <w:t>11,6</w:t>
            </w:r>
          </w:p>
        </w:tc>
      </w:tr>
      <w:tr w:rsidR="0015698B" w:rsidRPr="001A0628" w14:paraId="18436CFC" w14:textId="77777777" w:rsidTr="00386877">
        <w:tc>
          <w:tcPr>
            <w:tcW w:w="1129" w:type="dxa"/>
          </w:tcPr>
          <w:p w14:paraId="7451230D"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t>2021</w:t>
            </w:r>
          </w:p>
        </w:tc>
        <w:tc>
          <w:tcPr>
            <w:tcW w:w="1843" w:type="dxa"/>
          </w:tcPr>
          <w:p w14:paraId="67BA9757"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69</w:t>
            </w:r>
          </w:p>
        </w:tc>
        <w:tc>
          <w:tcPr>
            <w:tcW w:w="2977" w:type="dxa"/>
          </w:tcPr>
          <w:p w14:paraId="7C4CDAEA"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501,2</w:t>
            </w:r>
          </w:p>
        </w:tc>
        <w:tc>
          <w:tcPr>
            <w:tcW w:w="3118" w:type="dxa"/>
          </w:tcPr>
          <w:p w14:paraId="2B773BF2" w14:textId="10F2F084"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lang w:val="en-US"/>
              </w:rPr>
              <w:t>1</w:t>
            </w:r>
            <w:r w:rsidRPr="001A0628">
              <w:rPr>
                <w:rFonts w:ascii="Times New Roman" w:hAnsi="Times New Roman" w:cs="Times New Roman"/>
                <w:sz w:val="28"/>
                <w:szCs w:val="28"/>
              </w:rPr>
              <w:t>2,0</w:t>
            </w:r>
          </w:p>
        </w:tc>
      </w:tr>
      <w:tr w:rsidR="0015698B" w:rsidRPr="001A0628" w14:paraId="2058993E" w14:textId="77777777" w:rsidTr="00386877">
        <w:tc>
          <w:tcPr>
            <w:tcW w:w="1129" w:type="dxa"/>
          </w:tcPr>
          <w:p w14:paraId="6DB8D09E"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t>2022</w:t>
            </w:r>
          </w:p>
        </w:tc>
        <w:tc>
          <w:tcPr>
            <w:tcW w:w="1843" w:type="dxa"/>
          </w:tcPr>
          <w:p w14:paraId="66282BC4"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35</w:t>
            </w:r>
          </w:p>
        </w:tc>
        <w:tc>
          <w:tcPr>
            <w:tcW w:w="2977" w:type="dxa"/>
          </w:tcPr>
          <w:p w14:paraId="2E23ED79"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572,1</w:t>
            </w:r>
          </w:p>
        </w:tc>
        <w:tc>
          <w:tcPr>
            <w:tcW w:w="3118" w:type="dxa"/>
          </w:tcPr>
          <w:p w14:paraId="335A0AAF" w14:textId="5301B6BE"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4,4</w:t>
            </w:r>
          </w:p>
        </w:tc>
      </w:tr>
      <w:tr w:rsidR="0015698B" w:rsidRPr="001A0628" w14:paraId="5A01F3C3" w14:textId="77777777" w:rsidTr="00386877">
        <w:tc>
          <w:tcPr>
            <w:tcW w:w="1129" w:type="dxa"/>
          </w:tcPr>
          <w:p w14:paraId="01FBA5CF"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lastRenderedPageBreak/>
              <w:t>2023</w:t>
            </w:r>
          </w:p>
        </w:tc>
        <w:tc>
          <w:tcPr>
            <w:tcW w:w="1843" w:type="dxa"/>
          </w:tcPr>
          <w:p w14:paraId="2E14B836"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35</w:t>
            </w:r>
          </w:p>
        </w:tc>
        <w:tc>
          <w:tcPr>
            <w:tcW w:w="2977" w:type="dxa"/>
          </w:tcPr>
          <w:p w14:paraId="6BEBCA6E"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1 270,1</w:t>
            </w:r>
          </w:p>
        </w:tc>
        <w:tc>
          <w:tcPr>
            <w:tcW w:w="3118" w:type="dxa"/>
          </w:tcPr>
          <w:p w14:paraId="4FC1D47F"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lang w:val="en-US"/>
              </w:rPr>
              <w:t>12,7</w:t>
            </w:r>
          </w:p>
        </w:tc>
      </w:tr>
      <w:tr w:rsidR="0015698B" w:rsidRPr="001A0628" w14:paraId="696D8C3C" w14:textId="77777777" w:rsidTr="00386877">
        <w:tc>
          <w:tcPr>
            <w:tcW w:w="1129" w:type="dxa"/>
          </w:tcPr>
          <w:p w14:paraId="17F161B3" w14:textId="77777777" w:rsidR="0015698B" w:rsidRPr="001A0628" w:rsidRDefault="0015698B" w:rsidP="004021D0">
            <w:pPr>
              <w:ind w:firstLine="567"/>
              <w:jc w:val="both"/>
              <w:rPr>
                <w:rFonts w:ascii="Times New Roman" w:hAnsi="Times New Roman" w:cs="Times New Roman"/>
                <w:sz w:val="28"/>
                <w:szCs w:val="28"/>
              </w:rPr>
            </w:pPr>
            <w:r w:rsidRPr="001A0628">
              <w:rPr>
                <w:rFonts w:ascii="Times New Roman" w:hAnsi="Times New Roman" w:cs="Times New Roman"/>
                <w:sz w:val="28"/>
                <w:szCs w:val="28"/>
              </w:rPr>
              <w:t>2024</w:t>
            </w:r>
          </w:p>
        </w:tc>
        <w:tc>
          <w:tcPr>
            <w:tcW w:w="1843" w:type="dxa"/>
          </w:tcPr>
          <w:p w14:paraId="223DCC0C"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28</w:t>
            </w:r>
          </w:p>
        </w:tc>
        <w:tc>
          <w:tcPr>
            <w:tcW w:w="2977" w:type="dxa"/>
          </w:tcPr>
          <w:p w14:paraId="37C9AECB" w14:textId="77777777" w:rsidR="0015698B" w:rsidRPr="001A0628" w:rsidRDefault="0015698B" w:rsidP="00FB5DA9">
            <w:pPr>
              <w:ind w:firstLine="567"/>
              <w:jc w:val="center"/>
              <w:rPr>
                <w:rFonts w:ascii="Times New Roman" w:hAnsi="Times New Roman" w:cs="Times New Roman"/>
                <w:sz w:val="28"/>
                <w:szCs w:val="28"/>
              </w:rPr>
            </w:pPr>
            <w:r w:rsidRPr="001A0628">
              <w:rPr>
                <w:rFonts w:ascii="Times New Roman" w:hAnsi="Times New Roman" w:cs="Times New Roman"/>
                <w:sz w:val="28"/>
                <w:szCs w:val="28"/>
              </w:rPr>
              <w:t>353,6</w:t>
            </w:r>
          </w:p>
        </w:tc>
        <w:tc>
          <w:tcPr>
            <w:tcW w:w="3118" w:type="dxa"/>
          </w:tcPr>
          <w:p w14:paraId="4F4371B2" w14:textId="4442F66D" w:rsidR="0015698B" w:rsidRPr="00D23965" w:rsidRDefault="00D23965" w:rsidP="00FB5DA9">
            <w:pPr>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14,9</w:t>
            </w:r>
          </w:p>
        </w:tc>
      </w:tr>
    </w:tbl>
    <w:p w14:paraId="2AA9BA15" w14:textId="5475CFAC"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Показатели приведены из официальных источников:</w:t>
      </w:r>
    </w:p>
    <w:p w14:paraId="4C547AC4" w14:textId="0489A688"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Бюро национальной статистики АСП РК, КГД [6].</w:t>
      </w:r>
    </w:p>
    <w:p w14:paraId="5FF68173" w14:textId="50DA0212"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Объемы налоговых отчислений наиболее крупных компаний в сфере игорного бизнеса (13 из 35) составили (млрд тенге): 2020 г. – 23, 8; 2021 г. – 78,7; 2022 г. – 125,3: 2023/6 г. – 46,2; 2024 /6 г. – 34,5 [5]. Количество игорных заведений за последние 8 лет уменьшилось более чем в три раза, а объемы оказанных услуг в суммарном выражении за тот же период выросли почти в сто раз. Соответственно, возросли и суммы налоговых отчислений в бюджет. В странах ОЭСР (например, Великобритания, Бельгия, Франция, Италия, Испания, Нидерланды и др.) и странах ЕАЭС обороты в сфере игорного бизнеса полностью освобождены от налога на добавленную стоимость (Далее – НДС). В Казахстане налоговые отчисления от игорного бизнеса составляют тысячные доли процента от общего объема налогов, поступающих в бюджет [7]. Данное обстоятельство свидетельствует о том, что в общей картине государственных доходов в виде налоговых отчислений вклад игорного бизнеса не может оцениваться как остро необходимый, являющийся экономически важным и решающим фактором. Для разрешения проблемы в этой части правительством страны приняты меры, направленные на включение игорного бизнеса в структуру индустрии туризма. Как предполагается, данная мера усилит приток капитала как от туризма, так и от игорного бизнеса.   </w:t>
      </w:r>
    </w:p>
    <w:p w14:paraId="0ED1073A" w14:textId="1126C9DB"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Во взаимосвязи с этим в контексте задач по противодействию лудомании и незаконному игорному бизнесу возникает возможность выбора одного из следующих моделей политических решений: 1) запретить игорный бизнес в любых его проявлениях; 2) сохранить игорный бизнес в том виде, в котором он в настоящее время существует, продолжать ранее выработанную финансово-экономическую политику в этой области; 3) создать благоприятные условия для игорного бизнеса, в том числе путем обеспечения приемлемого налогового режима, с одновременным </w:t>
      </w:r>
      <w:proofErr w:type="spellStart"/>
      <w:r w:rsidRPr="001A0628">
        <w:rPr>
          <w:rFonts w:ascii="Times New Roman" w:hAnsi="Times New Roman" w:cs="Times New Roman"/>
          <w:sz w:val="28"/>
          <w:szCs w:val="28"/>
        </w:rPr>
        <w:t>предусмотрением</w:t>
      </w:r>
      <w:proofErr w:type="spellEnd"/>
      <w:r w:rsidRPr="001A0628">
        <w:rPr>
          <w:rFonts w:ascii="Times New Roman" w:hAnsi="Times New Roman" w:cs="Times New Roman"/>
          <w:sz w:val="28"/>
          <w:szCs w:val="28"/>
        </w:rPr>
        <w:t xml:space="preserve"> экономических и финансовых механизмов, применение которых сделает невыгодным совершение правонарушений и/или чрезмерное увлечение азартными играми.</w:t>
      </w:r>
    </w:p>
    <w:p w14:paraId="040EE582" w14:textId="7C92C7C1"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Безусловно, в каждом из предложенных нами моделей усматриваются возможные как положительные, так и отрицательные последствия. Наряду с этим, выбор может быть основан на наименьших негативных последствиях, которые могут быть преодолены с минимальными издержками.</w:t>
      </w:r>
    </w:p>
    <w:p w14:paraId="4A8770DC" w14:textId="30421998"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i/>
          <w:iCs/>
          <w:sz w:val="28"/>
          <w:szCs w:val="28"/>
        </w:rPr>
        <w:t>Модель первая</w:t>
      </w:r>
      <w:r w:rsidRPr="001A0628">
        <w:rPr>
          <w:rFonts w:ascii="Times New Roman" w:hAnsi="Times New Roman" w:cs="Times New Roman"/>
          <w:sz w:val="28"/>
          <w:szCs w:val="28"/>
        </w:rPr>
        <w:t>: наложение законодательного запрета на игорный бизнес. В качестве положительных последствий могут усматриваться:</w:t>
      </w:r>
    </w:p>
    <w:p w14:paraId="49019072" w14:textId="167762EC"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отсутствие комплекса проблем, связанных с правовой регламентацией организации и проведения азартных игр, с обеспечением государственного контроля за соблюдением установленных правил в области игорного бизнеса;</w:t>
      </w:r>
    </w:p>
    <w:p w14:paraId="5C0F4E2A" w14:textId="2D5AD15F"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lastRenderedPageBreak/>
        <w:t>- сохранение целостности старинных/традиционных устоев/обычаев в жизни и быте социума/титульной нации.</w:t>
      </w:r>
    </w:p>
    <w:p w14:paraId="5236788C" w14:textId="51A243CD"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Опыт тотального запрета азартных игр, игрового бизнеса в целом известен. Так, под запретом игорный бизнес находится в таких странах, как Афганистан, Бангладеш, Бахрейн, Иран, Йемен, Катар, Камбоджа, Китай, Косово, Кувейт, Оман, Пакистан, Саудовская Аравия, Северная Корея, Сингапур, Сирия [8] и др. Причины запретов в основном состоят в следующем: приверженность к конфессиональным догмам (например, исламский мир вообще не приемлет азартных игр); стремление сохранить особенности национальных обычаев, традиций и культуры, особенности игровой культуры; при либеральном отношении к игорному бизнесу со стороны правящих кругов наличие такого препятствия, как отсутствие реальных ресурсов или инфраструктуры для создания надлежащих условий в деле легализации и развития игорного бизнеса; понимание запрета на игорный бизнес в качестве механизма сдерживания процессов возможного наступления негативных последствий (рост преступности, банкротство, появление игровой зависимости, формирование новых социальных проблем).</w:t>
      </w:r>
    </w:p>
    <w:p w14:paraId="0EBB8427" w14:textId="526A166B"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В разных странах степень и формы запрета варьируются от тотального до фрагментарного/частичного/избирательного. Например, в США игорный бизнес легализован в 48 штатах, запрещен полностью в двух штатах - Юта и Гавайи. Игорный бизнес разрешен при условии соблюдения определенных ограничений в штатах – Айова, Иллинойс, Луизиана, Миссури. Здесь запрет наложен на игорный бизнес непосредственно на землях указанных штатов. Однако нет запрета на плавучие казино, что и практикуется организаторами этого бизнеса. В целом в США под запретом находятся онлайн-казино и электронные букмекерские конторы, за исключением территорий штатов </w:t>
      </w:r>
      <w:proofErr w:type="spellStart"/>
      <w:r w:rsidRPr="001A0628">
        <w:rPr>
          <w:rFonts w:ascii="Times New Roman" w:hAnsi="Times New Roman" w:cs="Times New Roman"/>
          <w:sz w:val="28"/>
          <w:szCs w:val="28"/>
        </w:rPr>
        <w:t>Делавер</w:t>
      </w:r>
      <w:proofErr w:type="spellEnd"/>
      <w:r w:rsidRPr="001A0628">
        <w:rPr>
          <w:rFonts w:ascii="Times New Roman" w:hAnsi="Times New Roman" w:cs="Times New Roman"/>
          <w:sz w:val="28"/>
          <w:szCs w:val="28"/>
        </w:rPr>
        <w:t>, Невада и Нью-Джерси [9].</w:t>
      </w:r>
    </w:p>
    <w:p w14:paraId="4AC99838" w14:textId="3645C82D"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 </w:t>
      </w:r>
      <w:r w:rsidR="004021D0">
        <w:rPr>
          <w:rFonts w:ascii="Times New Roman" w:hAnsi="Times New Roman" w:cs="Times New Roman"/>
          <w:sz w:val="28"/>
          <w:szCs w:val="28"/>
          <w:lang w:val="kk-KZ"/>
        </w:rPr>
        <w:t>В</w:t>
      </w:r>
      <w:r w:rsidRPr="001A0628">
        <w:rPr>
          <w:rFonts w:ascii="Times New Roman" w:hAnsi="Times New Roman" w:cs="Times New Roman"/>
          <w:sz w:val="28"/>
          <w:szCs w:val="28"/>
        </w:rPr>
        <w:t xml:space="preserve"> пределах первой модели высока вероятность наступления следующих негативных последствий:</w:t>
      </w:r>
    </w:p>
    <w:p w14:paraId="32E18432" w14:textId="6293520E"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потери в бюджете страны, состоявшие в прямых налоговых отчислениях от игорного бизнеса, одновременный отток капитала в зарубежье через интернет-казино;</w:t>
      </w:r>
    </w:p>
    <w:p w14:paraId="10994291" w14:textId="1C5E1F49"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снижение уровня привлекательности туристской и игровой индустрии;</w:t>
      </w:r>
    </w:p>
    <w:p w14:paraId="629B6454" w14:textId="408C5D30"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неконтролируемый рост экономической преступности, обусловленной переходом игорного бизнеса в теневую экономику, формирование криминалитета в области несанкционированного игорного бизнеса (например, контрабанда игровых автоматов и иных технических средств, применяемых в игорном бизнесе), рост коррупционных преступлений и административных проступков;</w:t>
      </w:r>
    </w:p>
    <w:p w14:paraId="7E64D86F" w14:textId="4AFF1B95"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расширение круга лиц, страдающих лудоманией, не охваченных мерами наблюдения и оказания психолого-психиатрической помощи со стороны органов здравоохранения и на этом фоне – обострение личностных психологических и психических отклонений [11];</w:t>
      </w:r>
    </w:p>
    <w:p w14:paraId="7DD00611" w14:textId="787490C7"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lastRenderedPageBreak/>
        <w:t>- снижение роли общественных институтов, способствующих проведению профилактических мер в отношении лиц, подверженных лудомании;</w:t>
      </w:r>
    </w:p>
    <w:p w14:paraId="3085C22C" w14:textId="27CD6293"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рост уровня безработицы как среди бывших организаторов и владельцев предприятий игорного бизнеса, так и среди работников смежных отраслей предпринимательства по оказанию сопутствующих игорному бизнесу услуг;</w:t>
      </w:r>
    </w:p>
    <w:p w14:paraId="1676DF8A" w14:textId="7761CCB7"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актуализация проблем, связанных с профилактикой и противодействием незаконному игорному бизнесу.</w:t>
      </w:r>
    </w:p>
    <w:p w14:paraId="696A6488" w14:textId="1A3EBB81"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Приведенные негативные последствия подтверждаются практикой стран, где игорный бизнес запрещен [12]. Как отмечалось на заседании Круглого стола «Проблемы игорного бизнеса и лотереи в Казахстане и пути их решения», организованного Палатой Мажилиса Парламента РК (22.09.2023.), нелегальный игорный бизнес процветает в тех странах, где он находится под запретом либо разрешен со значительными ограничениями. Указывалось, что по состоянию на 2023 год в стране было заблокировано более 2,5 тысяч сайтов, из которых 300 брендов нелегальных букмекеров и казино. Однако незамедлительно последовала реакция: на каждый заблокированный сайт в интернет-ресурсах открылись зеркальные сайты. При этом официальный оборот, например, по итогам 2022 года составил 267 млрд тенге, из которых уплачено налогов 4,4 млрд тенге [12].</w:t>
      </w:r>
    </w:p>
    <w:p w14:paraId="319FA679" w14:textId="7C3F7FFE"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i/>
          <w:iCs/>
          <w:sz w:val="28"/>
          <w:szCs w:val="28"/>
        </w:rPr>
        <w:t>Модель вторая</w:t>
      </w:r>
      <w:r w:rsidRPr="001A0628">
        <w:rPr>
          <w:rFonts w:ascii="Times New Roman" w:hAnsi="Times New Roman" w:cs="Times New Roman"/>
          <w:sz w:val="28"/>
          <w:szCs w:val="28"/>
        </w:rPr>
        <w:t xml:space="preserve">: сохранить в структуре казахстанской предпринимательской деятельности игорный бизнес, продолжать придерживаться приоритетов в финансово- экономической политике, сформированной и сформулированной на этапе легализации игорного бизнеса (2007 г.).  </w:t>
      </w:r>
    </w:p>
    <w:p w14:paraId="54C24D77" w14:textId="1D25BA0C"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Положительными результатами данного варианта государственной политики в области игорного бизнеса являются:</w:t>
      </w:r>
    </w:p>
    <w:p w14:paraId="3D22C272" w14:textId="6BB76F51"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сохранение инерционной силы наработанного финансово-экономического опыта регулирования отношений, складывающихся в области игорного бизнеса;</w:t>
      </w:r>
    </w:p>
    <w:p w14:paraId="798A5EAF" w14:textId="118351A6"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возможность осуществления государственного контроля в области игорного бизнеса в вопросах налогообложения, незаконных организации и проведения азартных игр.</w:t>
      </w:r>
    </w:p>
    <w:p w14:paraId="4C5F6685" w14:textId="1ECC2EF6" w:rsidR="0015698B" w:rsidRPr="001A0628" w:rsidRDefault="0015698B" w:rsidP="004021D0">
      <w:pPr>
        <w:tabs>
          <w:tab w:val="left" w:pos="851"/>
          <w:tab w:val="left" w:pos="993"/>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Недостатки рассматриваемой модели государственной политики:</w:t>
      </w:r>
    </w:p>
    <w:p w14:paraId="02ECDB68" w14:textId="0E136450" w:rsidR="0015698B" w:rsidRPr="001A0628" w:rsidRDefault="0015698B" w:rsidP="004021D0">
      <w:pPr>
        <w:tabs>
          <w:tab w:val="left" w:pos="851"/>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непрекращающаяся деятельность по усовершенствованию законодательства в области противодействия и профилактики незаконным организации и проведению азартных игр, ухода от обязательных налоговых отчислений;</w:t>
      </w:r>
    </w:p>
    <w:p w14:paraId="53A9C526" w14:textId="651B7848"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сохранение актуальности угрозы национальной безопасности в виде снижения уровня интеллектуального потенциала населения страны за счет роста лиц, страдающих лудоманией;</w:t>
      </w:r>
    </w:p>
    <w:p w14:paraId="32FD2EA1" w14:textId="137CBB5C"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 рост распространения </w:t>
      </w:r>
      <w:proofErr w:type="spellStart"/>
      <w:r w:rsidRPr="001A0628">
        <w:rPr>
          <w:rFonts w:ascii="Times New Roman" w:hAnsi="Times New Roman" w:cs="Times New Roman"/>
          <w:sz w:val="28"/>
          <w:szCs w:val="28"/>
        </w:rPr>
        <w:t>лудомании</w:t>
      </w:r>
      <w:proofErr w:type="spellEnd"/>
      <w:r w:rsidRPr="001A0628">
        <w:rPr>
          <w:rFonts w:ascii="Times New Roman" w:hAnsi="Times New Roman" w:cs="Times New Roman"/>
          <w:sz w:val="28"/>
          <w:szCs w:val="28"/>
        </w:rPr>
        <w:t xml:space="preserve"> среди разных слоев населения страны;</w:t>
      </w:r>
    </w:p>
    <w:p w14:paraId="35F2AF94" w14:textId="39BC06C1"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вероятность роста предикатных уголовных правонарушений, сопровождающих игорный бизнес (коррупция, мошенничество, шантаж, вовлечение в незаконные азартные игры лиц, не достигших 21-летнего возраста.</w:t>
      </w:r>
    </w:p>
    <w:p w14:paraId="3A46997B" w14:textId="66372914"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i/>
          <w:iCs/>
          <w:sz w:val="28"/>
          <w:szCs w:val="28"/>
        </w:rPr>
        <w:lastRenderedPageBreak/>
        <w:t>Модель третья</w:t>
      </w:r>
      <w:r w:rsidRPr="001A0628">
        <w:rPr>
          <w:rFonts w:ascii="Times New Roman" w:hAnsi="Times New Roman" w:cs="Times New Roman"/>
          <w:sz w:val="28"/>
          <w:szCs w:val="28"/>
        </w:rPr>
        <w:t xml:space="preserve">: создание благоприятных условий для игорного бизнеса, в том числе путем обеспечения приемлемого налогового режима, с одновременным </w:t>
      </w:r>
      <w:proofErr w:type="spellStart"/>
      <w:r w:rsidRPr="001A0628">
        <w:rPr>
          <w:rFonts w:ascii="Times New Roman" w:hAnsi="Times New Roman" w:cs="Times New Roman"/>
          <w:sz w:val="28"/>
          <w:szCs w:val="28"/>
        </w:rPr>
        <w:t>предусмотрением</w:t>
      </w:r>
      <w:proofErr w:type="spellEnd"/>
      <w:r w:rsidRPr="001A0628">
        <w:rPr>
          <w:rFonts w:ascii="Times New Roman" w:hAnsi="Times New Roman" w:cs="Times New Roman"/>
          <w:sz w:val="28"/>
          <w:szCs w:val="28"/>
        </w:rPr>
        <w:t xml:space="preserve"> финансово-экономических механизмов, применение которых сделает невыгодным совершение правонарушений и/или чрезмерное увлечение азартными играми. В данной модели основные черты второй модели сохраняются, но с привнесением качественно новых подходов, которые заключаются в следующем:</w:t>
      </w:r>
    </w:p>
    <w:p w14:paraId="417ADFEC" w14:textId="16D96759"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приемлемая налоговая политика, не грозящая систематическим наращиванием объемов налоговых отчислений;</w:t>
      </w:r>
    </w:p>
    <w:p w14:paraId="21ED2B37" w14:textId="102C15F8"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обеспечение максимальной прозрачности в вопросах: объемов доходов, поступающих в бюджет от игорного бизнеса; списков лиц, замеченных в чрезмерном увлечении азартными играми; списках субъектов, допускающих нарушения правил организации и проведения азартных игр; динамики правонарушений, выявленных уполномоченными органами, оказывающими противодействие незаконным организации и проведению     азартных игр, с включением уголовно-правовых составов предикатных деяний;</w:t>
      </w:r>
    </w:p>
    <w:p w14:paraId="229FA597" w14:textId="4061E39B"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 внедрение принципов «ответственной игры», «безопасного </w:t>
      </w:r>
      <w:proofErr w:type="spellStart"/>
      <w:r w:rsidRPr="001A0628">
        <w:rPr>
          <w:rFonts w:ascii="Times New Roman" w:hAnsi="Times New Roman" w:cs="Times New Roman"/>
          <w:sz w:val="28"/>
          <w:szCs w:val="28"/>
        </w:rPr>
        <w:t>беттинга</w:t>
      </w:r>
      <w:proofErr w:type="spellEnd"/>
      <w:r w:rsidRPr="001A0628">
        <w:rPr>
          <w:rFonts w:ascii="Times New Roman" w:hAnsi="Times New Roman" w:cs="Times New Roman"/>
          <w:sz w:val="28"/>
          <w:szCs w:val="28"/>
        </w:rPr>
        <w:t xml:space="preserve"> и </w:t>
      </w:r>
      <w:proofErr w:type="spellStart"/>
      <w:r w:rsidRPr="001A0628">
        <w:rPr>
          <w:rFonts w:ascii="Times New Roman" w:hAnsi="Times New Roman" w:cs="Times New Roman"/>
          <w:sz w:val="28"/>
          <w:szCs w:val="28"/>
        </w:rPr>
        <w:t>гемблинга</w:t>
      </w:r>
      <w:proofErr w:type="spellEnd"/>
      <w:r w:rsidRPr="001A0628">
        <w:rPr>
          <w:rFonts w:ascii="Times New Roman" w:hAnsi="Times New Roman" w:cs="Times New Roman"/>
          <w:sz w:val="28"/>
          <w:szCs w:val="28"/>
        </w:rPr>
        <w:t>»;</w:t>
      </w:r>
    </w:p>
    <w:p w14:paraId="61A045B4" w14:textId="222CDE1C"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развивать игорный бизнес в качестве составляющей части туристской индустрии, что будет способствовать формированию большего интереса к нашей стране и привлечению в страну зарубежных туристов, росту притока иностранной валюты;</w:t>
      </w:r>
    </w:p>
    <w:p w14:paraId="5C9EFEE7" w14:textId="649B7115"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 законодательное </w:t>
      </w:r>
      <w:proofErr w:type="spellStart"/>
      <w:r w:rsidRPr="001A0628">
        <w:rPr>
          <w:rFonts w:ascii="Times New Roman" w:hAnsi="Times New Roman" w:cs="Times New Roman"/>
          <w:sz w:val="28"/>
          <w:szCs w:val="28"/>
        </w:rPr>
        <w:t>предусмотрение</w:t>
      </w:r>
      <w:proofErr w:type="spellEnd"/>
      <w:r w:rsidRPr="001A0628">
        <w:rPr>
          <w:rFonts w:ascii="Times New Roman" w:hAnsi="Times New Roman" w:cs="Times New Roman"/>
          <w:sz w:val="28"/>
          <w:szCs w:val="28"/>
        </w:rPr>
        <w:t xml:space="preserve"> оснований для применения мер правового воздействия в отношении ближайшего окружения </w:t>
      </w:r>
      <w:proofErr w:type="spellStart"/>
      <w:r w:rsidRPr="001A0628">
        <w:rPr>
          <w:rFonts w:ascii="Times New Roman" w:hAnsi="Times New Roman" w:cs="Times New Roman"/>
          <w:sz w:val="28"/>
          <w:szCs w:val="28"/>
        </w:rPr>
        <w:t>лудомана</w:t>
      </w:r>
      <w:proofErr w:type="spellEnd"/>
      <w:r w:rsidRPr="001A0628">
        <w:rPr>
          <w:rFonts w:ascii="Times New Roman" w:hAnsi="Times New Roman" w:cs="Times New Roman"/>
          <w:sz w:val="28"/>
          <w:szCs w:val="28"/>
        </w:rPr>
        <w:t>;</w:t>
      </w:r>
    </w:p>
    <w:p w14:paraId="5AA5CF10" w14:textId="6F0A0E6E"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проведение массовых профилактических мероприятий, направленных на информирование населения об угрозах, возникающих на почве распространения игровой зависимости.</w:t>
      </w:r>
    </w:p>
    <w:p w14:paraId="26058F47" w14:textId="613B74B6" w:rsidR="0015698B" w:rsidRPr="001A0628" w:rsidRDefault="0015698B" w:rsidP="004021D0">
      <w:pPr>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В рамках рассматриваемой модели мы солидарны с мнением Е. А. </w:t>
      </w:r>
      <w:proofErr w:type="spellStart"/>
      <w:r w:rsidRPr="001A0628">
        <w:rPr>
          <w:rFonts w:ascii="Times New Roman" w:hAnsi="Times New Roman" w:cs="Times New Roman"/>
          <w:sz w:val="28"/>
          <w:szCs w:val="28"/>
        </w:rPr>
        <w:t>Бурибаева</w:t>
      </w:r>
      <w:proofErr w:type="spellEnd"/>
      <w:r w:rsidRPr="001A0628">
        <w:rPr>
          <w:rFonts w:ascii="Times New Roman" w:hAnsi="Times New Roman" w:cs="Times New Roman"/>
          <w:sz w:val="28"/>
          <w:szCs w:val="28"/>
        </w:rPr>
        <w:t xml:space="preserve"> и Ж. А. Хамзиной в постановке вопросов о профилактике лудомании, снижении ее распространенности и лечении [13, </w:t>
      </w:r>
      <w:r w:rsidRPr="001A0628">
        <w:rPr>
          <w:rFonts w:ascii="Times New Roman" w:hAnsi="Times New Roman" w:cs="Times New Roman"/>
          <w:sz w:val="28"/>
          <w:szCs w:val="28"/>
          <w:lang w:val="en-US"/>
        </w:rPr>
        <w:t>c</w:t>
      </w:r>
      <w:r w:rsidRPr="001A0628">
        <w:rPr>
          <w:rFonts w:ascii="Times New Roman" w:hAnsi="Times New Roman" w:cs="Times New Roman"/>
          <w:sz w:val="28"/>
          <w:szCs w:val="28"/>
        </w:rPr>
        <w:t>.17].</w:t>
      </w:r>
    </w:p>
    <w:p w14:paraId="104978FF" w14:textId="69AF5177" w:rsidR="0015698B" w:rsidRPr="0005379F" w:rsidRDefault="0005379F" w:rsidP="0005379F">
      <w:pPr>
        <w:tabs>
          <w:tab w:val="left" w:pos="851"/>
          <w:tab w:val="left" w:pos="993"/>
        </w:tabs>
        <w:spacing w:after="0"/>
        <w:jc w:val="both"/>
        <w:rPr>
          <w:rFonts w:ascii="Times New Roman" w:hAnsi="Times New Roman" w:cs="Times New Roman"/>
          <w:sz w:val="28"/>
          <w:szCs w:val="28"/>
        </w:rPr>
      </w:pPr>
      <w:r>
        <w:tab/>
      </w:r>
      <w:r w:rsidRPr="0005379F">
        <w:rPr>
          <w:rFonts w:ascii="Times New Roman" w:hAnsi="Times New Roman" w:cs="Times New Roman"/>
          <w:b/>
          <w:sz w:val="28"/>
          <w:szCs w:val="28"/>
        </w:rPr>
        <w:t>Заключение.</w:t>
      </w:r>
      <w:r w:rsidRPr="0005379F">
        <w:rPr>
          <w:lang w:val="kk-KZ"/>
        </w:rPr>
        <w:t xml:space="preserve"> </w:t>
      </w:r>
      <w:r w:rsidR="0015698B" w:rsidRPr="0005379F">
        <w:rPr>
          <w:rFonts w:ascii="Times New Roman" w:hAnsi="Times New Roman" w:cs="Times New Roman"/>
          <w:sz w:val="28"/>
          <w:szCs w:val="28"/>
        </w:rPr>
        <w:t xml:space="preserve">Внешняя привлекательность идеи о запрете игорного бизнеса таит в себе реальную угрозу национальной безопасности в виде негативных последствий для финансово-экономических процессов. Мировой опыт свидетельствует о том, что запрет, неизбежно приводит к широкому распространению подпольного игорного бизнеса. Наряду с этим, необходимо признать, что игорный бизнес – это прибыльный для государства сектор экономики. Он удовлетворяет интересы как владельца такого бизнеса, так и запросы государства. Массовый запрет влечет развитие криминализированного игорного бизнеса. Отсюда, представляется целесообразной более либеральная финансово-экономическая политика в отношении условий и требований, предъявляемых для занятия предпринимательством в виде игорного бизнеса,  с одновременным </w:t>
      </w:r>
      <w:proofErr w:type="spellStart"/>
      <w:r w:rsidR="0015698B" w:rsidRPr="0005379F">
        <w:rPr>
          <w:rFonts w:ascii="Times New Roman" w:hAnsi="Times New Roman" w:cs="Times New Roman"/>
          <w:sz w:val="28"/>
          <w:szCs w:val="28"/>
        </w:rPr>
        <w:t>предусмотрением</w:t>
      </w:r>
      <w:proofErr w:type="spellEnd"/>
      <w:r w:rsidR="0015698B" w:rsidRPr="0005379F">
        <w:rPr>
          <w:rFonts w:ascii="Times New Roman" w:hAnsi="Times New Roman" w:cs="Times New Roman"/>
          <w:sz w:val="28"/>
          <w:szCs w:val="28"/>
        </w:rPr>
        <w:t xml:space="preserve"> расширенного перечня оснований для </w:t>
      </w:r>
      <w:r w:rsidR="0015698B" w:rsidRPr="0005379F">
        <w:rPr>
          <w:rFonts w:ascii="Times New Roman" w:hAnsi="Times New Roman" w:cs="Times New Roman"/>
          <w:sz w:val="28"/>
          <w:szCs w:val="28"/>
        </w:rPr>
        <w:lastRenderedPageBreak/>
        <w:t xml:space="preserve">признания лица недееспособным/ограниченно дееспособным с возможным применением в отношении лиц, страдающих лудоманией, принудительных мер для их психолого-психиатрической реабилитации (например, применение принудительных мер медицинского характера). </w:t>
      </w:r>
    </w:p>
    <w:p w14:paraId="6DB393DE" w14:textId="77777777" w:rsidR="0015698B" w:rsidRPr="001A0628" w:rsidRDefault="0015698B" w:rsidP="004021D0">
      <w:pPr>
        <w:pStyle w:val="a7"/>
        <w:numPr>
          <w:ilvl w:val="0"/>
          <w:numId w:val="6"/>
        </w:numPr>
        <w:tabs>
          <w:tab w:val="left" w:pos="993"/>
        </w:tabs>
        <w:spacing w:after="0"/>
        <w:ind w:left="0" w:firstLine="567"/>
        <w:jc w:val="both"/>
        <w:rPr>
          <w:rFonts w:ascii="Times New Roman" w:hAnsi="Times New Roman" w:cs="Times New Roman"/>
          <w:sz w:val="28"/>
          <w:szCs w:val="28"/>
        </w:rPr>
      </w:pPr>
      <w:r w:rsidRPr="001A0628">
        <w:rPr>
          <w:rFonts w:ascii="Times New Roman" w:hAnsi="Times New Roman" w:cs="Times New Roman"/>
          <w:sz w:val="28"/>
          <w:szCs w:val="28"/>
        </w:rPr>
        <w:t>Традиционные казино и интернет-казино в настоящее время занимают равные доли</w:t>
      </w:r>
    </w:p>
    <w:p w14:paraId="1D3CA58F" w14:textId="77777777" w:rsidR="0015698B" w:rsidRPr="001A0628" w:rsidRDefault="0015698B" w:rsidP="004021D0">
      <w:pPr>
        <w:tabs>
          <w:tab w:val="left" w:pos="993"/>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 игорного рынка. При сохранении в Казахстане сложившихся соотношений в области легального и теневого игорного бизнеса, а также распространения и роста вовлеченности людей в азартные игры велика вероятность увеличения количества запрещенных в стране нелегальных интернет-казино. Одна из причин – неуязвимость этого бизнеса для казахстанского законодательства.</w:t>
      </w:r>
    </w:p>
    <w:p w14:paraId="5FE58E17" w14:textId="7F6D943F" w:rsidR="0015698B" w:rsidRPr="004021D0" w:rsidRDefault="0015698B" w:rsidP="004021D0">
      <w:pPr>
        <w:pStyle w:val="a7"/>
        <w:numPr>
          <w:ilvl w:val="0"/>
          <w:numId w:val="6"/>
        </w:numPr>
        <w:tabs>
          <w:tab w:val="left" w:pos="993"/>
        </w:tabs>
        <w:spacing w:after="0"/>
        <w:ind w:left="0" w:firstLine="567"/>
        <w:jc w:val="both"/>
        <w:rPr>
          <w:rFonts w:ascii="Times New Roman" w:hAnsi="Times New Roman" w:cs="Times New Roman"/>
          <w:sz w:val="28"/>
          <w:szCs w:val="28"/>
        </w:rPr>
      </w:pPr>
      <w:r w:rsidRPr="004021D0">
        <w:rPr>
          <w:rFonts w:ascii="Times New Roman" w:hAnsi="Times New Roman" w:cs="Times New Roman"/>
          <w:sz w:val="28"/>
          <w:szCs w:val="28"/>
        </w:rPr>
        <w:t>Проблемы реабилитации лиц, страдающих игровой зависимостью, приобретают большое значение и занимают свою нишу в общей стратегии страны, ориентированной на формирование интеллектуально развитой, физически здоровой нации, претендующей занять передовые позиции в страновых рейтингах. Исходя из этого, полагаем необходимым проведение комплексных научных исследований проблем профилактики и противодействия лудомании, разработку и реализацию специализированных программ профилактики распространения игровой зависимости, реабилитации лиц с психолого-психиатрическим диагнозом «</w:t>
      </w:r>
      <w:proofErr w:type="spellStart"/>
      <w:r w:rsidRPr="004021D0">
        <w:rPr>
          <w:rFonts w:ascii="Times New Roman" w:hAnsi="Times New Roman" w:cs="Times New Roman"/>
          <w:sz w:val="28"/>
          <w:szCs w:val="28"/>
        </w:rPr>
        <w:t>лудоман</w:t>
      </w:r>
      <w:proofErr w:type="spellEnd"/>
      <w:r w:rsidRPr="004021D0">
        <w:rPr>
          <w:rFonts w:ascii="Times New Roman" w:hAnsi="Times New Roman" w:cs="Times New Roman"/>
          <w:sz w:val="28"/>
          <w:szCs w:val="28"/>
        </w:rPr>
        <w:t>». Промедление в этих вопросах повлечет в последующем большие финансовые затраты, которые будут расти из года в год. В данном контексте представляется перспективным дополнительное возложение на вновь созданный при Министерстве туризма и спорта Республики Казахстан Комитет по регулированию игорного бизнеса и лотереи (04.09.2024 г.) задачи: «профилактика лудомании».</w:t>
      </w:r>
    </w:p>
    <w:p w14:paraId="0488FFB8" w14:textId="77777777" w:rsidR="0015698B" w:rsidRPr="001A0628" w:rsidRDefault="0015698B" w:rsidP="004021D0">
      <w:pPr>
        <w:spacing w:after="0"/>
        <w:ind w:firstLine="567"/>
        <w:jc w:val="both"/>
        <w:rPr>
          <w:rFonts w:ascii="Times New Roman" w:hAnsi="Times New Roman" w:cs="Times New Roman"/>
          <w:sz w:val="28"/>
          <w:szCs w:val="28"/>
        </w:rPr>
      </w:pPr>
    </w:p>
    <w:p w14:paraId="010AFE77" w14:textId="1BB64E03" w:rsidR="007F0630" w:rsidRDefault="007F0630" w:rsidP="007F0630">
      <w:pPr>
        <w:tabs>
          <w:tab w:val="left" w:pos="1134"/>
        </w:tabs>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Список литературы</w:t>
      </w:r>
    </w:p>
    <w:p w14:paraId="3BDB8615" w14:textId="77777777" w:rsidR="007F0630" w:rsidRPr="007F0630" w:rsidRDefault="007F0630" w:rsidP="007F0630">
      <w:pPr>
        <w:tabs>
          <w:tab w:val="left" w:pos="1134"/>
        </w:tabs>
        <w:spacing w:after="0"/>
        <w:jc w:val="center"/>
        <w:rPr>
          <w:rFonts w:ascii="Times New Roman" w:hAnsi="Times New Roman" w:cs="Times New Roman"/>
          <w:b/>
          <w:bCs/>
          <w:sz w:val="28"/>
          <w:szCs w:val="28"/>
          <w:lang w:val="kk-KZ"/>
        </w:rPr>
      </w:pPr>
    </w:p>
    <w:p w14:paraId="69FA090D" w14:textId="799C6CE8" w:rsidR="0015698B" w:rsidRPr="001A0628" w:rsidRDefault="0015698B" w:rsidP="004021D0">
      <w:pPr>
        <w:tabs>
          <w:tab w:val="left" w:pos="1134"/>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1. </w:t>
      </w:r>
      <w:proofErr w:type="spellStart"/>
      <w:r w:rsidRPr="001A0628">
        <w:rPr>
          <w:rFonts w:ascii="Times New Roman" w:hAnsi="Times New Roman" w:cs="Times New Roman"/>
          <w:sz w:val="28"/>
          <w:szCs w:val="28"/>
        </w:rPr>
        <w:t>Лайлиева</w:t>
      </w:r>
      <w:proofErr w:type="spellEnd"/>
      <w:r w:rsidRPr="001A0628">
        <w:rPr>
          <w:rFonts w:ascii="Times New Roman" w:hAnsi="Times New Roman" w:cs="Times New Roman"/>
          <w:sz w:val="28"/>
          <w:szCs w:val="28"/>
        </w:rPr>
        <w:t xml:space="preserve"> Э. (2024). Развитие лотерейного бизнеса и экономическое обоснование его монополизации государством//Экономический форум. - № 1 (14). – </w:t>
      </w:r>
      <w:proofErr w:type="spellStart"/>
      <w:r w:rsidRPr="001A0628">
        <w:rPr>
          <w:rFonts w:ascii="Times New Roman" w:hAnsi="Times New Roman" w:cs="Times New Roman"/>
          <w:sz w:val="28"/>
          <w:szCs w:val="28"/>
          <w:lang w:val="en-US"/>
        </w:rPr>
        <w:t>doi</w:t>
      </w:r>
      <w:proofErr w:type="spellEnd"/>
      <w:r w:rsidRPr="001A0628">
        <w:rPr>
          <w:rFonts w:ascii="Times New Roman" w:hAnsi="Times New Roman" w:cs="Times New Roman"/>
          <w:sz w:val="28"/>
          <w:szCs w:val="28"/>
        </w:rPr>
        <w:t>: 10.62763/</w:t>
      </w:r>
      <w:proofErr w:type="spellStart"/>
      <w:r w:rsidRPr="001A0628">
        <w:rPr>
          <w:rFonts w:ascii="Times New Roman" w:hAnsi="Times New Roman" w:cs="Times New Roman"/>
          <w:sz w:val="28"/>
          <w:szCs w:val="28"/>
          <w:lang w:val="en-US"/>
        </w:rPr>
        <w:t>cb</w:t>
      </w:r>
      <w:proofErr w:type="spellEnd"/>
      <w:r w:rsidRPr="001A0628">
        <w:rPr>
          <w:rFonts w:ascii="Times New Roman" w:hAnsi="Times New Roman" w:cs="Times New Roman"/>
          <w:sz w:val="28"/>
          <w:szCs w:val="28"/>
        </w:rPr>
        <w:t xml:space="preserve">/1.2024.40. (дата обращения: 02.02.2025.); Малис Н. И., </w:t>
      </w:r>
      <w:proofErr w:type="spellStart"/>
      <w:r w:rsidRPr="001A0628">
        <w:rPr>
          <w:rFonts w:ascii="Times New Roman" w:hAnsi="Times New Roman" w:cs="Times New Roman"/>
          <w:sz w:val="28"/>
          <w:szCs w:val="28"/>
        </w:rPr>
        <w:t>Багдаева</w:t>
      </w:r>
      <w:proofErr w:type="spellEnd"/>
      <w:r w:rsidRPr="001A0628">
        <w:rPr>
          <w:rFonts w:ascii="Times New Roman" w:hAnsi="Times New Roman" w:cs="Times New Roman"/>
          <w:sz w:val="28"/>
          <w:szCs w:val="28"/>
        </w:rPr>
        <w:t xml:space="preserve"> Ф. Т. Налогообложение игорного бизнеса и его влияние </w:t>
      </w:r>
      <w:proofErr w:type="gramStart"/>
      <w:r w:rsidRPr="001A0628">
        <w:rPr>
          <w:rFonts w:ascii="Times New Roman" w:hAnsi="Times New Roman" w:cs="Times New Roman"/>
          <w:sz w:val="28"/>
          <w:szCs w:val="28"/>
        </w:rPr>
        <w:t>на  социально</w:t>
      </w:r>
      <w:proofErr w:type="gramEnd"/>
      <w:r w:rsidRPr="001A0628">
        <w:rPr>
          <w:rFonts w:ascii="Times New Roman" w:hAnsi="Times New Roman" w:cs="Times New Roman"/>
          <w:sz w:val="28"/>
          <w:szCs w:val="28"/>
        </w:rPr>
        <w:t>-экономическую ситуацию в регионе//</w:t>
      </w:r>
      <w:r w:rsidRPr="001A0628">
        <w:rPr>
          <w:rFonts w:ascii="Times New Roman" w:hAnsi="Times New Roman" w:cs="Times New Roman"/>
          <w:sz w:val="28"/>
          <w:szCs w:val="28"/>
          <w:lang w:val="en-US"/>
        </w:rPr>
        <w:t>Economics</w:t>
      </w:r>
      <w:r w:rsidRPr="001A0628">
        <w:rPr>
          <w:rFonts w:ascii="Times New Roman" w:hAnsi="Times New Roman" w:cs="Times New Roman"/>
          <w:sz w:val="28"/>
          <w:szCs w:val="28"/>
        </w:rPr>
        <w:t xml:space="preserve">. </w:t>
      </w:r>
      <w:r w:rsidRPr="001A0628">
        <w:rPr>
          <w:rFonts w:ascii="Times New Roman" w:hAnsi="Times New Roman" w:cs="Times New Roman"/>
          <w:sz w:val="28"/>
          <w:szCs w:val="28"/>
          <w:lang w:val="en-US"/>
        </w:rPr>
        <w:t>Law</w:t>
      </w:r>
      <w:r w:rsidRPr="001A0628">
        <w:rPr>
          <w:rFonts w:ascii="Times New Roman" w:hAnsi="Times New Roman" w:cs="Times New Roman"/>
          <w:sz w:val="28"/>
          <w:szCs w:val="28"/>
        </w:rPr>
        <w:t xml:space="preserve">. </w:t>
      </w:r>
      <w:r w:rsidRPr="001A0628">
        <w:rPr>
          <w:rFonts w:ascii="Times New Roman" w:hAnsi="Times New Roman" w:cs="Times New Roman"/>
          <w:sz w:val="28"/>
          <w:szCs w:val="28"/>
          <w:lang w:val="en-US"/>
        </w:rPr>
        <w:t>State</w:t>
      </w:r>
      <w:r w:rsidRPr="001A0628">
        <w:rPr>
          <w:rFonts w:ascii="Times New Roman" w:hAnsi="Times New Roman" w:cs="Times New Roman"/>
          <w:sz w:val="28"/>
          <w:szCs w:val="28"/>
        </w:rPr>
        <w:t xml:space="preserve">. 2018. -6 (8). – С. 12-19; Бесчастнов Н. Н., Егоров К. Ю. Политика КНР в сфере регулирования рынка компьютерных игр (социальный и культурный аспекты)//Теория и практика общественного развития. 2023. - № 6. – С. 25-30. </w:t>
      </w:r>
      <w:r w:rsidRPr="001A0628">
        <w:rPr>
          <w:rFonts w:ascii="Times New Roman" w:hAnsi="Times New Roman" w:cs="Times New Roman"/>
          <w:sz w:val="28"/>
          <w:szCs w:val="28"/>
          <w:lang w:val="en-US"/>
        </w:rPr>
        <w:t>https</w:t>
      </w:r>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doi</w:t>
      </w:r>
      <w:proofErr w:type="spellEnd"/>
      <w:r w:rsidRPr="001A0628">
        <w:rPr>
          <w:rFonts w:ascii="Times New Roman" w:hAnsi="Times New Roman" w:cs="Times New Roman"/>
          <w:sz w:val="28"/>
          <w:szCs w:val="28"/>
        </w:rPr>
        <w:t>.</w:t>
      </w:r>
      <w:r w:rsidRPr="001A0628">
        <w:rPr>
          <w:rFonts w:ascii="Times New Roman" w:hAnsi="Times New Roman" w:cs="Times New Roman"/>
          <w:sz w:val="28"/>
          <w:szCs w:val="28"/>
          <w:lang w:val="en-US"/>
        </w:rPr>
        <w:t>org</w:t>
      </w:r>
      <w:r w:rsidRPr="001A0628">
        <w:rPr>
          <w:rFonts w:ascii="Times New Roman" w:hAnsi="Times New Roman" w:cs="Times New Roman"/>
          <w:sz w:val="28"/>
          <w:szCs w:val="28"/>
        </w:rPr>
        <w:t>/10.24158/</w:t>
      </w:r>
      <w:proofErr w:type="spellStart"/>
      <w:r w:rsidRPr="001A0628">
        <w:rPr>
          <w:rFonts w:ascii="Times New Roman" w:hAnsi="Times New Roman" w:cs="Times New Roman"/>
          <w:sz w:val="28"/>
          <w:szCs w:val="28"/>
          <w:lang w:val="en-US"/>
        </w:rPr>
        <w:t>tipor</w:t>
      </w:r>
      <w:proofErr w:type="spellEnd"/>
      <w:r w:rsidRPr="001A0628">
        <w:rPr>
          <w:rFonts w:ascii="Times New Roman" w:hAnsi="Times New Roman" w:cs="Times New Roman"/>
          <w:sz w:val="28"/>
          <w:szCs w:val="28"/>
        </w:rPr>
        <w:t>.2023.5.2.</w:t>
      </w:r>
    </w:p>
    <w:p w14:paraId="383A2678" w14:textId="25FF6138" w:rsidR="0015698B" w:rsidRPr="001A0628" w:rsidRDefault="0015698B" w:rsidP="004021D0">
      <w:pPr>
        <w:tabs>
          <w:tab w:val="left" w:pos="1134"/>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2. Об игорном бизнесе. – Закон Республики Казахстан от 12.01.2007. № 219. В редакции по состоянию на 01.01.2025. //</w:t>
      </w:r>
      <w:proofErr w:type="spellStart"/>
      <w:r w:rsidRPr="001A0628">
        <w:rPr>
          <w:rFonts w:ascii="Times New Roman" w:hAnsi="Times New Roman" w:cs="Times New Roman"/>
          <w:sz w:val="28"/>
          <w:szCs w:val="28"/>
          <w:lang w:val="en-US"/>
        </w:rPr>
        <w:t>adilet</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zan</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kz</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rus</w:t>
      </w:r>
      <w:proofErr w:type="spellEnd"/>
      <w:r w:rsidRPr="001A0628">
        <w:rPr>
          <w:rFonts w:ascii="Times New Roman" w:hAnsi="Times New Roman" w:cs="Times New Roman"/>
          <w:sz w:val="28"/>
          <w:szCs w:val="28"/>
        </w:rPr>
        <w:t>/</w:t>
      </w:r>
      <w:r w:rsidRPr="001A0628">
        <w:rPr>
          <w:rFonts w:ascii="Times New Roman" w:hAnsi="Times New Roman" w:cs="Times New Roman"/>
          <w:sz w:val="28"/>
          <w:szCs w:val="28"/>
          <w:lang w:val="en-US"/>
        </w:rPr>
        <w:t>docs</w:t>
      </w:r>
      <w:r w:rsidRPr="001A0628">
        <w:rPr>
          <w:rFonts w:ascii="Times New Roman" w:hAnsi="Times New Roman" w:cs="Times New Roman"/>
          <w:sz w:val="28"/>
          <w:szCs w:val="28"/>
        </w:rPr>
        <w:t>/</w:t>
      </w:r>
      <w:r w:rsidRPr="001A0628">
        <w:rPr>
          <w:rFonts w:ascii="Times New Roman" w:hAnsi="Times New Roman" w:cs="Times New Roman"/>
          <w:sz w:val="28"/>
          <w:szCs w:val="28"/>
          <w:lang w:val="en-US"/>
        </w:rPr>
        <w:t>Z</w:t>
      </w:r>
      <w:r w:rsidRPr="001A0628">
        <w:rPr>
          <w:rFonts w:ascii="Times New Roman" w:hAnsi="Times New Roman" w:cs="Times New Roman"/>
          <w:sz w:val="28"/>
          <w:szCs w:val="28"/>
        </w:rPr>
        <w:t>070000219 (дата обращения: 15.01.2025.).</w:t>
      </w:r>
    </w:p>
    <w:p w14:paraId="73910E6E" w14:textId="51417AF5" w:rsidR="0015698B" w:rsidRPr="001A0628" w:rsidRDefault="0015698B" w:rsidP="004021D0">
      <w:pPr>
        <w:tabs>
          <w:tab w:val="left" w:pos="1134"/>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lastRenderedPageBreak/>
        <w:t xml:space="preserve"> 3. О некоторых вопросах Министерства туризма и спорта Республики Казахстан. – Постановление Правительства РК от 04.09.2024. № 721. //</w:t>
      </w:r>
      <w:r w:rsidRPr="001A0628">
        <w:rPr>
          <w:rFonts w:ascii="Times New Roman" w:hAnsi="Times New Roman" w:cs="Times New Roman"/>
          <w:sz w:val="28"/>
          <w:szCs w:val="28"/>
          <w:lang w:val="en-US"/>
        </w:rPr>
        <w:t>https</w:t>
      </w:r>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adilet</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zan</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kz</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rus</w:t>
      </w:r>
      <w:proofErr w:type="spellEnd"/>
      <w:r w:rsidRPr="001A0628">
        <w:rPr>
          <w:rFonts w:ascii="Times New Roman" w:hAnsi="Times New Roman" w:cs="Times New Roman"/>
          <w:sz w:val="28"/>
          <w:szCs w:val="28"/>
        </w:rPr>
        <w:t>/</w:t>
      </w:r>
      <w:r w:rsidRPr="001A0628">
        <w:rPr>
          <w:rFonts w:ascii="Times New Roman" w:hAnsi="Times New Roman" w:cs="Times New Roman"/>
          <w:sz w:val="28"/>
          <w:szCs w:val="28"/>
          <w:lang w:val="en-US"/>
        </w:rPr>
        <w:t>docs</w:t>
      </w:r>
      <w:r w:rsidRPr="001A0628">
        <w:rPr>
          <w:rFonts w:ascii="Times New Roman" w:hAnsi="Times New Roman" w:cs="Times New Roman"/>
          <w:sz w:val="28"/>
          <w:szCs w:val="28"/>
        </w:rPr>
        <w:t>/</w:t>
      </w:r>
      <w:r w:rsidRPr="001A0628">
        <w:rPr>
          <w:rFonts w:ascii="Times New Roman" w:hAnsi="Times New Roman" w:cs="Times New Roman"/>
          <w:sz w:val="28"/>
          <w:szCs w:val="28"/>
          <w:lang w:val="en-US"/>
        </w:rPr>
        <w:t>P</w:t>
      </w:r>
      <w:r w:rsidRPr="001A0628">
        <w:rPr>
          <w:rFonts w:ascii="Times New Roman" w:hAnsi="Times New Roman" w:cs="Times New Roman"/>
          <w:sz w:val="28"/>
          <w:szCs w:val="28"/>
        </w:rPr>
        <w:t>2400000721 (дата обращения: 15.01.2025.).</w:t>
      </w:r>
    </w:p>
    <w:p w14:paraId="18184D4A" w14:textId="4FB52511" w:rsidR="0015698B" w:rsidRPr="004021D0" w:rsidRDefault="0015698B" w:rsidP="004021D0">
      <w:pPr>
        <w:pStyle w:val="a7"/>
        <w:numPr>
          <w:ilvl w:val="0"/>
          <w:numId w:val="6"/>
        </w:numPr>
        <w:tabs>
          <w:tab w:val="left" w:pos="1134"/>
        </w:tabs>
        <w:spacing w:after="0"/>
        <w:ind w:left="0" w:firstLine="567"/>
        <w:jc w:val="both"/>
        <w:rPr>
          <w:rFonts w:ascii="Times New Roman" w:hAnsi="Times New Roman" w:cs="Times New Roman"/>
          <w:sz w:val="28"/>
          <w:szCs w:val="28"/>
        </w:rPr>
      </w:pPr>
      <w:r w:rsidRPr="004021D0">
        <w:rPr>
          <w:rFonts w:ascii="Times New Roman" w:hAnsi="Times New Roman" w:cs="Times New Roman"/>
          <w:sz w:val="28"/>
          <w:szCs w:val="28"/>
        </w:rPr>
        <w:t xml:space="preserve">Комплексный план по противодействию незаконному игорному бизнесу и </w:t>
      </w:r>
      <w:proofErr w:type="spellStart"/>
      <w:r w:rsidRPr="004021D0">
        <w:rPr>
          <w:rFonts w:ascii="Times New Roman" w:hAnsi="Times New Roman" w:cs="Times New Roman"/>
          <w:sz w:val="28"/>
          <w:szCs w:val="28"/>
        </w:rPr>
        <w:t>лудомании</w:t>
      </w:r>
      <w:proofErr w:type="spellEnd"/>
      <w:r w:rsidR="004021D0">
        <w:rPr>
          <w:rFonts w:ascii="Times New Roman" w:hAnsi="Times New Roman" w:cs="Times New Roman"/>
          <w:sz w:val="28"/>
          <w:szCs w:val="28"/>
          <w:lang w:val="kk-KZ"/>
        </w:rPr>
        <w:t xml:space="preserve"> </w:t>
      </w:r>
      <w:r w:rsidRPr="004021D0">
        <w:rPr>
          <w:rFonts w:ascii="Times New Roman" w:hAnsi="Times New Roman" w:cs="Times New Roman"/>
          <w:sz w:val="28"/>
          <w:szCs w:val="28"/>
        </w:rPr>
        <w:t>в   Республике Казахстан на 2024-2026 годы. – Утвержден постановлением Правительства Республики Казахстан от 31 мая 2024 г. № 432 //</w:t>
      </w:r>
      <w:proofErr w:type="gramStart"/>
      <w:r w:rsidRPr="004021D0">
        <w:rPr>
          <w:rFonts w:ascii="Times New Roman" w:hAnsi="Times New Roman" w:cs="Times New Roman"/>
          <w:sz w:val="28"/>
          <w:szCs w:val="28"/>
          <w:lang w:val="en-US"/>
        </w:rPr>
        <w:t>https</w:t>
      </w:r>
      <w:r w:rsidRPr="004021D0">
        <w:rPr>
          <w:rFonts w:ascii="Times New Roman" w:hAnsi="Times New Roman" w:cs="Times New Roman"/>
          <w:sz w:val="28"/>
          <w:szCs w:val="28"/>
        </w:rPr>
        <w:t>://</w:t>
      </w:r>
      <w:proofErr w:type="spellStart"/>
      <w:r w:rsidRPr="004021D0">
        <w:rPr>
          <w:rFonts w:ascii="Times New Roman" w:hAnsi="Times New Roman" w:cs="Times New Roman"/>
          <w:sz w:val="28"/>
          <w:szCs w:val="28"/>
          <w:lang w:val="en-US"/>
        </w:rPr>
        <w:t>adilet</w:t>
      </w:r>
      <w:proofErr w:type="spellEnd"/>
      <w:r w:rsidRPr="004021D0">
        <w:rPr>
          <w:rFonts w:ascii="Times New Roman" w:hAnsi="Times New Roman" w:cs="Times New Roman"/>
          <w:sz w:val="28"/>
          <w:szCs w:val="28"/>
        </w:rPr>
        <w:t>.</w:t>
      </w:r>
      <w:proofErr w:type="spellStart"/>
      <w:r w:rsidRPr="004021D0">
        <w:rPr>
          <w:rFonts w:ascii="Times New Roman" w:hAnsi="Times New Roman" w:cs="Times New Roman"/>
          <w:sz w:val="28"/>
          <w:szCs w:val="28"/>
          <w:lang w:val="en-US"/>
        </w:rPr>
        <w:t>zan</w:t>
      </w:r>
      <w:proofErr w:type="spellEnd"/>
      <w:r w:rsidRPr="004021D0">
        <w:rPr>
          <w:rFonts w:ascii="Times New Roman" w:hAnsi="Times New Roman" w:cs="Times New Roman"/>
          <w:sz w:val="28"/>
          <w:szCs w:val="28"/>
        </w:rPr>
        <w:t>.</w:t>
      </w:r>
      <w:proofErr w:type="spellStart"/>
      <w:r w:rsidRPr="004021D0">
        <w:rPr>
          <w:rFonts w:ascii="Times New Roman" w:hAnsi="Times New Roman" w:cs="Times New Roman"/>
          <w:sz w:val="28"/>
          <w:szCs w:val="28"/>
          <w:lang w:val="en-US"/>
        </w:rPr>
        <w:t>kz</w:t>
      </w:r>
      <w:proofErr w:type="spellEnd"/>
      <w:r w:rsidRPr="004021D0">
        <w:rPr>
          <w:rFonts w:ascii="Times New Roman" w:hAnsi="Times New Roman" w:cs="Times New Roman"/>
          <w:sz w:val="28"/>
          <w:szCs w:val="28"/>
        </w:rPr>
        <w:t>&gt;</w:t>
      </w:r>
      <w:proofErr w:type="spellStart"/>
      <w:r w:rsidRPr="004021D0">
        <w:rPr>
          <w:rFonts w:ascii="Times New Roman" w:hAnsi="Times New Roman" w:cs="Times New Roman"/>
          <w:sz w:val="28"/>
          <w:szCs w:val="28"/>
          <w:lang w:val="en-US"/>
        </w:rPr>
        <w:t>rus</w:t>
      </w:r>
      <w:proofErr w:type="spellEnd"/>
      <w:proofErr w:type="gramEnd"/>
      <w:r w:rsidRPr="004021D0">
        <w:rPr>
          <w:rFonts w:ascii="Times New Roman" w:hAnsi="Times New Roman" w:cs="Times New Roman"/>
          <w:sz w:val="28"/>
          <w:szCs w:val="28"/>
        </w:rPr>
        <w:t>&gt;</w:t>
      </w:r>
      <w:r w:rsidRPr="004021D0">
        <w:rPr>
          <w:rFonts w:ascii="Times New Roman" w:hAnsi="Times New Roman" w:cs="Times New Roman"/>
          <w:sz w:val="28"/>
          <w:szCs w:val="28"/>
          <w:lang w:val="en-US"/>
        </w:rPr>
        <w:t>docs</w:t>
      </w:r>
      <w:r w:rsidRPr="004021D0">
        <w:rPr>
          <w:rFonts w:ascii="Times New Roman" w:hAnsi="Times New Roman" w:cs="Times New Roman"/>
          <w:sz w:val="28"/>
          <w:szCs w:val="28"/>
        </w:rPr>
        <w:t>&gt;</w:t>
      </w:r>
      <w:r w:rsidRPr="004021D0">
        <w:rPr>
          <w:rFonts w:ascii="Times New Roman" w:hAnsi="Times New Roman" w:cs="Times New Roman"/>
          <w:sz w:val="28"/>
          <w:szCs w:val="28"/>
          <w:lang w:val="en-US"/>
        </w:rPr>
        <w:t>P</w:t>
      </w:r>
      <w:r w:rsidRPr="004021D0">
        <w:rPr>
          <w:rFonts w:ascii="Times New Roman" w:hAnsi="Times New Roman" w:cs="Times New Roman"/>
          <w:sz w:val="28"/>
          <w:szCs w:val="28"/>
        </w:rPr>
        <w:t>2400000432 (дата обращения: 15.01.2025.).</w:t>
      </w:r>
    </w:p>
    <w:p w14:paraId="4977944B" w14:textId="7B1547A9" w:rsidR="0015698B" w:rsidRPr="00947301" w:rsidRDefault="0015698B" w:rsidP="004021D0">
      <w:pPr>
        <w:pStyle w:val="a7"/>
        <w:numPr>
          <w:ilvl w:val="0"/>
          <w:numId w:val="6"/>
        </w:numPr>
        <w:tabs>
          <w:tab w:val="left" w:pos="1134"/>
        </w:tabs>
        <w:spacing w:after="0"/>
        <w:ind w:left="0" w:firstLine="567"/>
        <w:jc w:val="both"/>
        <w:rPr>
          <w:rFonts w:ascii="Times New Roman" w:hAnsi="Times New Roman" w:cs="Times New Roman"/>
          <w:sz w:val="28"/>
          <w:szCs w:val="28"/>
        </w:rPr>
      </w:pPr>
      <w:r w:rsidRPr="00947301">
        <w:rPr>
          <w:rFonts w:ascii="Times New Roman" w:hAnsi="Times New Roman" w:cs="Times New Roman"/>
          <w:sz w:val="28"/>
          <w:szCs w:val="28"/>
        </w:rPr>
        <w:t>Положение о Комитете по регулированию игорного бизнеса и лотереи Министерства туризма и спорта Республики Казахстан. – Утверждено приказом Министра туризма и спорта Республики Казахстан от 13.09.2024. № 157. //</w:t>
      </w:r>
      <w:r w:rsidRPr="00947301">
        <w:rPr>
          <w:rFonts w:ascii="Times New Roman" w:hAnsi="Times New Roman" w:cs="Times New Roman"/>
          <w:sz w:val="28"/>
          <w:szCs w:val="28"/>
          <w:lang w:val="en-US"/>
        </w:rPr>
        <w:t>https</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adilet</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zan</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kz</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rus</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docs</w:t>
      </w:r>
      <w:r w:rsidRPr="00947301">
        <w:rPr>
          <w:rFonts w:ascii="Times New Roman" w:hAnsi="Times New Roman" w:cs="Times New Roman"/>
          <w:sz w:val="28"/>
          <w:szCs w:val="28"/>
        </w:rPr>
        <w:t>/ (дата обращения: 15.01.2025.).</w:t>
      </w:r>
    </w:p>
    <w:p w14:paraId="685378D2" w14:textId="5E357604" w:rsidR="0015698B" w:rsidRPr="00947301" w:rsidRDefault="0015698B" w:rsidP="004021D0">
      <w:pPr>
        <w:pStyle w:val="a7"/>
        <w:numPr>
          <w:ilvl w:val="0"/>
          <w:numId w:val="6"/>
        </w:numPr>
        <w:tabs>
          <w:tab w:val="left" w:pos="1134"/>
        </w:tabs>
        <w:spacing w:after="0"/>
        <w:ind w:left="0" w:firstLine="567"/>
        <w:jc w:val="both"/>
        <w:rPr>
          <w:rFonts w:ascii="Times New Roman" w:hAnsi="Times New Roman" w:cs="Times New Roman"/>
          <w:sz w:val="28"/>
          <w:szCs w:val="28"/>
        </w:rPr>
      </w:pPr>
      <w:r w:rsidRPr="00947301">
        <w:rPr>
          <w:rFonts w:ascii="Times New Roman" w:hAnsi="Times New Roman" w:cs="Times New Roman"/>
          <w:sz w:val="28"/>
          <w:szCs w:val="28"/>
        </w:rPr>
        <w:t xml:space="preserve">Комитет государственных доходов: Фактические поступления по </w:t>
      </w:r>
      <w:proofErr w:type="spellStart"/>
      <w:r w:rsidRPr="00947301">
        <w:rPr>
          <w:rFonts w:ascii="Times New Roman" w:hAnsi="Times New Roman" w:cs="Times New Roman"/>
          <w:sz w:val="28"/>
          <w:szCs w:val="28"/>
        </w:rPr>
        <w:t>по</w:t>
      </w:r>
      <w:proofErr w:type="spellEnd"/>
      <w:r w:rsidRPr="00947301">
        <w:rPr>
          <w:rFonts w:ascii="Times New Roman" w:hAnsi="Times New Roman" w:cs="Times New Roman"/>
          <w:sz w:val="28"/>
          <w:szCs w:val="28"/>
        </w:rPr>
        <w:t xml:space="preserve"> налогам и</w:t>
      </w:r>
      <w:r w:rsidR="00947301">
        <w:rPr>
          <w:rFonts w:ascii="Times New Roman" w:hAnsi="Times New Roman" w:cs="Times New Roman"/>
          <w:sz w:val="28"/>
          <w:szCs w:val="28"/>
          <w:lang w:val="kk-KZ"/>
        </w:rPr>
        <w:t xml:space="preserve"> </w:t>
      </w:r>
      <w:r w:rsidRPr="00947301">
        <w:rPr>
          <w:rFonts w:ascii="Times New Roman" w:hAnsi="Times New Roman" w:cs="Times New Roman"/>
          <w:sz w:val="28"/>
          <w:szCs w:val="28"/>
        </w:rPr>
        <w:t>платежам в государственный бюджет за 2022-2023 гг. //</w:t>
      </w:r>
      <w:r w:rsidRPr="00947301">
        <w:rPr>
          <w:rFonts w:ascii="Times New Roman" w:hAnsi="Times New Roman" w:cs="Times New Roman"/>
          <w:sz w:val="28"/>
          <w:szCs w:val="28"/>
          <w:lang w:val="en-US"/>
        </w:rPr>
        <w:t>https</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kgd</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gov</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kz</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ru</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content</w:t>
      </w:r>
      <w:r w:rsidRPr="00947301">
        <w:rPr>
          <w:rFonts w:ascii="Times New Roman" w:hAnsi="Times New Roman" w:cs="Times New Roman"/>
          <w:sz w:val="28"/>
          <w:szCs w:val="28"/>
        </w:rPr>
        <w:t xml:space="preserve">/ (дата обращения: 22.01.2025.).; </w:t>
      </w:r>
      <w:proofErr w:type="spellStart"/>
      <w:r w:rsidRPr="00947301">
        <w:rPr>
          <w:rFonts w:ascii="Times New Roman" w:hAnsi="Times New Roman" w:cs="Times New Roman"/>
          <w:sz w:val="28"/>
          <w:szCs w:val="28"/>
        </w:rPr>
        <w:t>Есилов</w:t>
      </w:r>
      <w:proofErr w:type="spellEnd"/>
      <w:r w:rsidRPr="00947301">
        <w:rPr>
          <w:rFonts w:ascii="Times New Roman" w:hAnsi="Times New Roman" w:cs="Times New Roman"/>
          <w:sz w:val="28"/>
          <w:szCs w:val="28"/>
        </w:rPr>
        <w:t xml:space="preserve"> А. Игорный бизнес как часть туристского потенциала Казахстана//Вестник </w:t>
      </w:r>
      <w:proofErr w:type="spellStart"/>
      <w:r w:rsidRPr="00947301">
        <w:rPr>
          <w:rFonts w:ascii="Times New Roman" w:hAnsi="Times New Roman" w:cs="Times New Roman"/>
          <w:sz w:val="28"/>
          <w:szCs w:val="28"/>
        </w:rPr>
        <w:t>КазУТБ</w:t>
      </w:r>
      <w:proofErr w:type="spellEnd"/>
      <w:r w:rsidRPr="00947301">
        <w:rPr>
          <w:rFonts w:ascii="Times New Roman" w:hAnsi="Times New Roman" w:cs="Times New Roman"/>
          <w:sz w:val="28"/>
          <w:szCs w:val="28"/>
        </w:rPr>
        <w:t xml:space="preserve">, т. 1, </w:t>
      </w:r>
      <w:proofErr w:type="spellStart"/>
      <w:r w:rsidRPr="00947301">
        <w:rPr>
          <w:rFonts w:ascii="Times New Roman" w:hAnsi="Times New Roman" w:cs="Times New Roman"/>
          <w:sz w:val="28"/>
          <w:szCs w:val="28"/>
        </w:rPr>
        <w:t>вып</w:t>
      </w:r>
      <w:proofErr w:type="spellEnd"/>
      <w:r w:rsidRPr="00947301">
        <w:rPr>
          <w:rFonts w:ascii="Times New Roman" w:hAnsi="Times New Roman" w:cs="Times New Roman"/>
          <w:sz w:val="28"/>
          <w:szCs w:val="28"/>
        </w:rPr>
        <w:t xml:space="preserve">. 18, апрель 2023. </w:t>
      </w:r>
      <w:r w:rsidRPr="00947301">
        <w:rPr>
          <w:rFonts w:ascii="Times New Roman" w:hAnsi="Times New Roman" w:cs="Times New Roman"/>
          <w:sz w:val="28"/>
          <w:szCs w:val="28"/>
          <w:lang w:val="en-US"/>
        </w:rPr>
        <w:t>Doi</w:t>
      </w:r>
      <w:r w:rsidRPr="00947301">
        <w:rPr>
          <w:rFonts w:ascii="Times New Roman" w:hAnsi="Times New Roman" w:cs="Times New Roman"/>
          <w:sz w:val="28"/>
          <w:szCs w:val="28"/>
        </w:rPr>
        <w:t>: 10/58805/</w:t>
      </w:r>
      <w:proofErr w:type="spellStart"/>
      <w:r w:rsidRPr="00947301">
        <w:rPr>
          <w:rFonts w:ascii="Times New Roman" w:hAnsi="Times New Roman" w:cs="Times New Roman"/>
          <w:sz w:val="28"/>
          <w:szCs w:val="28"/>
          <w:lang w:val="en-US"/>
        </w:rPr>
        <w:t>kazutub</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v</w:t>
      </w:r>
      <w:r w:rsidRPr="00947301">
        <w:rPr>
          <w:rFonts w:ascii="Times New Roman" w:hAnsi="Times New Roman" w:cs="Times New Roman"/>
          <w:sz w:val="28"/>
          <w:szCs w:val="28"/>
        </w:rPr>
        <w:t>.1.18-80</w:t>
      </w:r>
    </w:p>
    <w:p w14:paraId="1FF73FF9" w14:textId="6DC61A7A" w:rsidR="0015698B" w:rsidRPr="00947301" w:rsidRDefault="0015698B" w:rsidP="004021D0">
      <w:pPr>
        <w:pStyle w:val="a7"/>
        <w:numPr>
          <w:ilvl w:val="0"/>
          <w:numId w:val="6"/>
        </w:numPr>
        <w:tabs>
          <w:tab w:val="left" w:pos="1134"/>
        </w:tabs>
        <w:spacing w:after="0"/>
        <w:ind w:left="0" w:firstLine="567"/>
        <w:jc w:val="both"/>
        <w:rPr>
          <w:rFonts w:ascii="Times New Roman" w:hAnsi="Times New Roman" w:cs="Times New Roman"/>
          <w:sz w:val="28"/>
          <w:szCs w:val="28"/>
        </w:rPr>
      </w:pPr>
      <w:r w:rsidRPr="00947301">
        <w:rPr>
          <w:rFonts w:ascii="Times New Roman" w:hAnsi="Times New Roman" w:cs="Times New Roman"/>
          <w:sz w:val="28"/>
          <w:szCs w:val="28"/>
        </w:rPr>
        <w:t xml:space="preserve">Электронные ресурсы. Режимы доступа: </w:t>
      </w:r>
      <w:hyperlink r:id="rId6" w:history="1">
        <w:r w:rsidRPr="00947301">
          <w:rPr>
            <w:rStyle w:val="ac"/>
            <w:rFonts w:ascii="Times New Roman" w:hAnsi="Times New Roman" w:cs="Times New Roman"/>
            <w:sz w:val="28"/>
            <w:szCs w:val="28"/>
            <w:lang w:val="en-US"/>
          </w:rPr>
          <w:t>https</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Ism</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kz</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kazino</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nalogi</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vyruchka</w:t>
        </w:r>
        <w:r w:rsidRPr="00947301">
          <w:rPr>
            <w:rStyle w:val="ac"/>
            <w:rFonts w:ascii="Times New Roman" w:hAnsi="Times New Roman" w:cs="Times New Roman"/>
            <w:sz w:val="28"/>
            <w:szCs w:val="28"/>
          </w:rPr>
          <w:t>-</w:t>
        </w:r>
      </w:hyperlink>
      <w:proofErr w:type="spellStart"/>
      <w:r w:rsidRPr="00947301">
        <w:rPr>
          <w:rFonts w:ascii="Times New Roman" w:hAnsi="Times New Roman" w:cs="Times New Roman"/>
          <w:sz w:val="28"/>
          <w:szCs w:val="28"/>
          <w:lang w:val="en-US"/>
        </w:rPr>
        <w:t>kazakhstan</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LS</w:t>
      </w:r>
      <w:r w:rsidRPr="00947301">
        <w:rPr>
          <w:rFonts w:ascii="Times New Roman" w:hAnsi="Times New Roman" w:cs="Times New Roman"/>
          <w:sz w:val="28"/>
          <w:szCs w:val="28"/>
        </w:rPr>
        <w:t xml:space="preserve">; </w:t>
      </w:r>
      <w:r w:rsidRPr="00947301">
        <w:rPr>
          <w:rFonts w:ascii="Times New Roman" w:hAnsi="Times New Roman" w:cs="Times New Roman"/>
          <w:sz w:val="28"/>
          <w:szCs w:val="28"/>
          <w:lang w:val="en-US"/>
        </w:rPr>
        <w:t>https</w:t>
      </w:r>
      <w:r w:rsidRPr="00947301">
        <w:rPr>
          <w:rFonts w:ascii="Times New Roman" w:hAnsi="Times New Roman" w:cs="Times New Roman"/>
          <w:sz w:val="28"/>
          <w:szCs w:val="28"/>
        </w:rPr>
        <w:t>://</w:t>
      </w:r>
      <w:r w:rsidRPr="00947301">
        <w:rPr>
          <w:rFonts w:ascii="Times New Roman" w:hAnsi="Times New Roman" w:cs="Times New Roman"/>
          <w:sz w:val="28"/>
          <w:szCs w:val="28"/>
          <w:lang w:val="en-US"/>
        </w:rPr>
        <w:t>Ism</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kz</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kazakhstanskie</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kazino</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uvodyat</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v</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podpol</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e</w:t>
      </w:r>
      <w:r w:rsidRPr="00947301">
        <w:rPr>
          <w:rFonts w:ascii="Times New Roman" w:hAnsi="Times New Roman" w:cs="Times New Roman"/>
          <w:sz w:val="28"/>
          <w:szCs w:val="28"/>
        </w:rPr>
        <w:t>©</w:t>
      </w:r>
      <w:r w:rsidRPr="00947301">
        <w:rPr>
          <w:rFonts w:ascii="Times New Roman" w:hAnsi="Times New Roman" w:cs="Times New Roman"/>
          <w:sz w:val="28"/>
          <w:szCs w:val="28"/>
          <w:lang w:val="en-US"/>
        </w:rPr>
        <w:t>LS</w:t>
      </w:r>
      <w:r w:rsidRPr="00947301">
        <w:rPr>
          <w:rFonts w:ascii="Times New Roman" w:hAnsi="Times New Roman" w:cs="Times New Roman"/>
          <w:sz w:val="28"/>
          <w:szCs w:val="28"/>
        </w:rPr>
        <w:t xml:space="preserve">; </w:t>
      </w:r>
      <w:r w:rsidRPr="00947301">
        <w:rPr>
          <w:rFonts w:ascii="Times New Roman" w:hAnsi="Times New Roman" w:cs="Times New Roman"/>
          <w:sz w:val="28"/>
          <w:szCs w:val="28"/>
          <w:lang w:val="en-US"/>
        </w:rPr>
        <w:t>https</w:t>
      </w:r>
      <w:r w:rsidRPr="00947301">
        <w:rPr>
          <w:rFonts w:ascii="Times New Roman" w:hAnsi="Times New Roman" w:cs="Times New Roman"/>
          <w:sz w:val="28"/>
          <w:szCs w:val="28"/>
        </w:rPr>
        <w:t>;//</w:t>
      </w:r>
      <w:r w:rsidRPr="00947301">
        <w:rPr>
          <w:rFonts w:ascii="Times New Roman" w:hAnsi="Times New Roman" w:cs="Times New Roman"/>
          <w:sz w:val="28"/>
          <w:szCs w:val="28"/>
          <w:lang w:val="en-US"/>
        </w:rPr>
        <w:t>ranking</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kz</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reviews</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socium</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rynkom</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nezdorovogo</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azarta</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v</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rk</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rulyat</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inostrannye</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kazino</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i</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bukmekery</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html</w:t>
      </w:r>
      <w:r w:rsidRPr="00947301">
        <w:rPr>
          <w:rFonts w:ascii="Times New Roman" w:hAnsi="Times New Roman" w:cs="Times New Roman"/>
          <w:sz w:val="28"/>
          <w:szCs w:val="28"/>
        </w:rPr>
        <w:t xml:space="preserve">; </w:t>
      </w:r>
      <w:r w:rsidRPr="00947301">
        <w:rPr>
          <w:rFonts w:ascii="Times New Roman" w:hAnsi="Times New Roman" w:cs="Times New Roman"/>
          <w:sz w:val="28"/>
          <w:szCs w:val="28"/>
          <w:lang w:val="en-US"/>
        </w:rPr>
        <w:t>https</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kgd</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gov</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kz</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ru</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content</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fakticheskie</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postupleniya</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po</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nalogam</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i</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platezham</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v</w:t>
      </w:r>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gosudarstvennyy</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byudzhet</w:t>
      </w:r>
      <w:proofErr w:type="spellEnd"/>
      <w:r w:rsidRPr="00947301">
        <w:rPr>
          <w:rFonts w:ascii="Times New Roman" w:hAnsi="Times New Roman" w:cs="Times New Roman"/>
          <w:sz w:val="28"/>
          <w:szCs w:val="28"/>
        </w:rPr>
        <w:t>-</w:t>
      </w:r>
      <w:proofErr w:type="spellStart"/>
      <w:r w:rsidRPr="00947301">
        <w:rPr>
          <w:rFonts w:ascii="Times New Roman" w:hAnsi="Times New Roman" w:cs="Times New Roman"/>
          <w:sz w:val="28"/>
          <w:szCs w:val="28"/>
          <w:lang w:val="en-US"/>
        </w:rPr>
        <w:t>za</w:t>
      </w:r>
      <w:proofErr w:type="spellEnd"/>
      <w:r w:rsidRPr="00947301">
        <w:rPr>
          <w:rFonts w:ascii="Times New Roman" w:hAnsi="Times New Roman" w:cs="Times New Roman"/>
          <w:sz w:val="28"/>
          <w:szCs w:val="28"/>
        </w:rPr>
        <w:t>-2002-2023-</w:t>
      </w:r>
      <w:r w:rsidRPr="00947301">
        <w:rPr>
          <w:rFonts w:ascii="Times New Roman" w:hAnsi="Times New Roman" w:cs="Times New Roman"/>
          <w:sz w:val="28"/>
          <w:szCs w:val="28"/>
          <w:lang w:val="en-US"/>
        </w:rPr>
        <w:t>gg</w:t>
      </w:r>
      <w:r w:rsidRPr="00947301">
        <w:rPr>
          <w:rFonts w:ascii="Times New Roman" w:hAnsi="Times New Roman" w:cs="Times New Roman"/>
          <w:sz w:val="28"/>
          <w:szCs w:val="28"/>
        </w:rPr>
        <w:t xml:space="preserve">; </w:t>
      </w:r>
      <w:hyperlink r:id="rId7" w:history="1">
        <w:r w:rsidRPr="00947301">
          <w:rPr>
            <w:rStyle w:val="ac"/>
            <w:rFonts w:ascii="Times New Roman" w:hAnsi="Times New Roman" w:cs="Times New Roman"/>
            <w:sz w:val="28"/>
            <w:szCs w:val="28"/>
            <w:lang w:val="en-US"/>
          </w:rPr>
          <w:t>https</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kapital</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kz</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business</w:t>
        </w:r>
        <w:r w:rsidRPr="00947301">
          <w:rPr>
            <w:rStyle w:val="ac"/>
            <w:rFonts w:ascii="Times New Roman" w:hAnsi="Times New Roman" w:cs="Times New Roman"/>
            <w:sz w:val="28"/>
            <w:szCs w:val="28"/>
          </w:rPr>
          <w:t>/74748/</w:t>
        </w:r>
        <w:r w:rsidRPr="00947301">
          <w:rPr>
            <w:rStyle w:val="ac"/>
            <w:rFonts w:ascii="Times New Roman" w:hAnsi="Times New Roman" w:cs="Times New Roman"/>
            <w:sz w:val="28"/>
            <w:szCs w:val="28"/>
            <w:lang w:val="en-US"/>
          </w:rPr>
          <w:t>chto</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zhdet</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igornyy</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biznes</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v</w:t>
        </w:r>
        <w:r w:rsidRPr="00947301">
          <w:rPr>
            <w:rStyle w:val="ac"/>
            <w:rFonts w:ascii="Times New Roman" w:hAnsi="Times New Roman" w:cs="Times New Roman"/>
            <w:sz w:val="28"/>
            <w:szCs w:val="28"/>
          </w:rPr>
          <w:t>-2019-</w:t>
        </w:r>
        <w:r w:rsidRPr="00947301">
          <w:rPr>
            <w:rStyle w:val="ac"/>
            <w:rFonts w:ascii="Times New Roman" w:hAnsi="Times New Roman" w:cs="Times New Roman"/>
            <w:sz w:val="28"/>
            <w:szCs w:val="28"/>
            <w:lang w:val="en-US"/>
          </w:rPr>
          <w:t>godu</w:t>
        </w:r>
        <w:r w:rsidRPr="00947301">
          <w:rPr>
            <w:rStyle w:val="ac"/>
            <w:rFonts w:ascii="Times New Roman" w:hAnsi="Times New Roman" w:cs="Times New Roman"/>
            <w:sz w:val="28"/>
            <w:szCs w:val="28"/>
          </w:rPr>
          <w:t>.</w:t>
        </w:r>
        <w:r w:rsidRPr="00947301">
          <w:rPr>
            <w:rStyle w:val="ac"/>
            <w:rFonts w:ascii="Times New Roman" w:hAnsi="Times New Roman" w:cs="Times New Roman"/>
            <w:sz w:val="28"/>
            <w:szCs w:val="28"/>
            <w:lang w:val="en-US"/>
          </w:rPr>
          <w:t>html</w:t>
        </w:r>
      </w:hyperlink>
      <w:r w:rsidRPr="00947301">
        <w:rPr>
          <w:rFonts w:ascii="Times New Roman" w:hAnsi="Times New Roman" w:cs="Times New Roman"/>
          <w:sz w:val="28"/>
          <w:szCs w:val="28"/>
        </w:rPr>
        <w:t xml:space="preserve"> (дата обращения: 17.01.2025.).</w:t>
      </w:r>
    </w:p>
    <w:p w14:paraId="0DF25F2B" w14:textId="7A041370" w:rsidR="0015698B" w:rsidRPr="00947301" w:rsidRDefault="0015698B" w:rsidP="004021D0">
      <w:pPr>
        <w:pStyle w:val="a7"/>
        <w:numPr>
          <w:ilvl w:val="0"/>
          <w:numId w:val="6"/>
        </w:numPr>
        <w:tabs>
          <w:tab w:val="left" w:pos="1134"/>
        </w:tabs>
        <w:spacing w:after="0"/>
        <w:ind w:left="0" w:firstLine="567"/>
        <w:jc w:val="both"/>
        <w:rPr>
          <w:rFonts w:ascii="Times New Roman" w:hAnsi="Times New Roman" w:cs="Times New Roman"/>
          <w:sz w:val="28"/>
          <w:szCs w:val="28"/>
        </w:rPr>
      </w:pPr>
      <w:r w:rsidRPr="00947301">
        <w:rPr>
          <w:rFonts w:ascii="Times New Roman" w:hAnsi="Times New Roman" w:cs="Times New Roman"/>
          <w:sz w:val="28"/>
          <w:szCs w:val="28"/>
        </w:rPr>
        <w:t>Электронный ресурс. Режим доступа: //0312/</w:t>
      </w:r>
      <w:proofErr w:type="spellStart"/>
      <w:r w:rsidRPr="00947301">
        <w:rPr>
          <w:rFonts w:ascii="Times New Roman" w:hAnsi="Times New Roman" w:cs="Times New Roman"/>
          <w:sz w:val="28"/>
          <w:szCs w:val="28"/>
          <w:lang w:val="en-US"/>
        </w:rPr>
        <w:t>ua</w:t>
      </w:r>
      <w:proofErr w:type="spellEnd"/>
      <w:r w:rsidRPr="00947301">
        <w:rPr>
          <w:rFonts w:ascii="Times New Roman" w:hAnsi="Times New Roman" w:cs="Times New Roman"/>
          <w:sz w:val="28"/>
          <w:szCs w:val="28"/>
        </w:rPr>
        <w:t>/</w:t>
      </w:r>
      <w:r w:rsidRPr="00947301">
        <w:rPr>
          <w:rFonts w:ascii="Times New Roman" w:hAnsi="Times New Roman" w:cs="Times New Roman"/>
          <w:sz w:val="28"/>
          <w:szCs w:val="28"/>
          <w:lang w:val="en-US"/>
        </w:rPr>
        <w:t>list</w:t>
      </w:r>
      <w:r w:rsidRPr="00947301">
        <w:rPr>
          <w:rFonts w:ascii="Times New Roman" w:hAnsi="Times New Roman" w:cs="Times New Roman"/>
          <w:sz w:val="28"/>
          <w:szCs w:val="28"/>
        </w:rPr>
        <w:t>/475131 (дата обращения: 17.01.2025.).</w:t>
      </w:r>
    </w:p>
    <w:p w14:paraId="2639BEE0" w14:textId="6721201B" w:rsidR="0015698B" w:rsidRPr="001A0628" w:rsidRDefault="0015698B" w:rsidP="004021D0">
      <w:pPr>
        <w:tabs>
          <w:tab w:val="left" w:pos="1134"/>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9.  Игорный бизнес: </w:t>
      </w:r>
      <w:proofErr w:type="gramStart"/>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ru</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wikipedia</w:t>
      </w:r>
      <w:proofErr w:type="spellEnd"/>
      <w:r w:rsidRPr="001A0628">
        <w:rPr>
          <w:rFonts w:ascii="Times New Roman" w:hAnsi="Times New Roman" w:cs="Times New Roman"/>
          <w:sz w:val="28"/>
          <w:szCs w:val="28"/>
        </w:rPr>
        <w:t>.</w:t>
      </w:r>
      <w:r w:rsidRPr="001A0628">
        <w:rPr>
          <w:rFonts w:ascii="Times New Roman" w:hAnsi="Times New Roman" w:cs="Times New Roman"/>
          <w:sz w:val="28"/>
          <w:szCs w:val="28"/>
          <w:lang w:val="en-US"/>
        </w:rPr>
        <w:t>org</w:t>
      </w:r>
      <w:r w:rsidRPr="001A0628">
        <w:rPr>
          <w:rFonts w:ascii="Times New Roman" w:hAnsi="Times New Roman" w:cs="Times New Roman"/>
          <w:sz w:val="28"/>
          <w:szCs w:val="28"/>
        </w:rPr>
        <w:t>/</w:t>
      </w:r>
      <w:r w:rsidRPr="001A0628">
        <w:rPr>
          <w:rFonts w:ascii="Times New Roman" w:hAnsi="Times New Roman" w:cs="Times New Roman"/>
          <w:sz w:val="28"/>
          <w:szCs w:val="28"/>
          <w:lang w:val="en-US"/>
        </w:rPr>
        <w:t>wiki</w:t>
      </w:r>
      <w:r w:rsidRPr="001A0628">
        <w:rPr>
          <w:rFonts w:ascii="Times New Roman" w:hAnsi="Times New Roman" w:cs="Times New Roman"/>
          <w:sz w:val="28"/>
          <w:szCs w:val="28"/>
        </w:rPr>
        <w:t>/  (</w:t>
      </w:r>
      <w:proofErr w:type="gramEnd"/>
      <w:r w:rsidRPr="001A0628">
        <w:rPr>
          <w:rFonts w:ascii="Times New Roman" w:hAnsi="Times New Roman" w:cs="Times New Roman"/>
          <w:sz w:val="28"/>
          <w:szCs w:val="28"/>
        </w:rPr>
        <w:t xml:space="preserve">дата обращения: 17.01.2025.).  </w:t>
      </w:r>
    </w:p>
    <w:p w14:paraId="105C7171" w14:textId="434D8580" w:rsidR="0015698B" w:rsidRPr="001A0628" w:rsidRDefault="004021D0" w:rsidP="004021D0">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1</w:t>
      </w:r>
      <w:r w:rsidR="0015698B" w:rsidRPr="001A0628">
        <w:rPr>
          <w:rFonts w:ascii="Times New Roman" w:hAnsi="Times New Roman" w:cs="Times New Roman"/>
          <w:sz w:val="28"/>
          <w:szCs w:val="28"/>
        </w:rPr>
        <w:t xml:space="preserve">0. </w:t>
      </w:r>
      <w:proofErr w:type="spellStart"/>
      <w:r w:rsidR="0015698B" w:rsidRPr="001A0628">
        <w:rPr>
          <w:rFonts w:ascii="Times New Roman" w:hAnsi="Times New Roman" w:cs="Times New Roman"/>
          <w:sz w:val="28"/>
          <w:szCs w:val="28"/>
          <w:lang w:val="en-US"/>
        </w:rPr>
        <w:t>Izryadnova</w:t>
      </w:r>
      <w:proofErr w:type="spellEnd"/>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Olga</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A</w:t>
      </w:r>
      <w:proofErr w:type="spellStart"/>
      <w:r w:rsidR="0015698B" w:rsidRPr="001A0628">
        <w:rPr>
          <w:rFonts w:ascii="Times New Roman" w:hAnsi="Times New Roman" w:cs="Times New Roman"/>
          <w:sz w:val="28"/>
          <w:szCs w:val="28"/>
        </w:rPr>
        <w:t>нализ</w:t>
      </w:r>
      <w:proofErr w:type="spellEnd"/>
      <w:r w:rsidR="0015698B" w:rsidRPr="001A0628">
        <w:rPr>
          <w:rFonts w:ascii="Times New Roman" w:hAnsi="Times New Roman" w:cs="Times New Roman"/>
          <w:sz w:val="28"/>
          <w:szCs w:val="28"/>
        </w:rPr>
        <w:t xml:space="preserve"> мировой практики Государственного регулирования деятельности в сфере азартных игр и практики управления игорными зонами (</w:t>
      </w:r>
      <w:r w:rsidR="0015698B" w:rsidRPr="001A0628">
        <w:rPr>
          <w:rFonts w:ascii="Times New Roman" w:hAnsi="Times New Roman" w:cs="Times New Roman"/>
          <w:sz w:val="28"/>
          <w:szCs w:val="28"/>
          <w:lang w:val="en-US"/>
        </w:rPr>
        <w:t>Analysis</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of</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the</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Global</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Practice</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of</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State</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Regulation</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of</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Activities</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in</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the</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Field</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of</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Gambling</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and</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Gaming</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Zone</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Management</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Practices</w:t>
      </w:r>
      <w:r w:rsidR="0015698B" w:rsidRPr="001A0628">
        <w:rPr>
          <w:rFonts w:ascii="Times New Roman" w:hAnsi="Times New Roman" w:cs="Times New Roman"/>
          <w:sz w:val="28"/>
          <w:szCs w:val="28"/>
        </w:rPr>
        <w:t>) (</w:t>
      </w:r>
      <w:proofErr w:type="gramStart"/>
      <w:r w:rsidR="0015698B" w:rsidRPr="001A0628">
        <w:rPr>
          <w:rFonts w:ascii="Times New Roman" w:hAnsi="Times New Roman" w:cs="Times New Roman"/>
          <w:sz w:val="28"/>
          <w:szCs w:val="28"/>
          <w:lang w:val="en-US"/>
        </w:rPr>
        <w:t>April</w:t>
      </w:r>
      <w:r w:rsidR="0015698B" w:rsidRPr="001A0628">
        <w:rPr>
          <w:rFonts w:ascii="Times New Roman" w:hAnsi="Times New Roman" w:cs="Times New Roman"/>
          <w:sz w:val="28"/>
          <w:szCs w:val="28"/>
        </w:rPr>
        <w:t>,</w:t>
      </w:r>
      <w:proofErr w:type="gramEnd"/>
      <w:r w:rsidR="0015698B" w:rsidRPr="001A0628">
        <w:rPr>
          <w:rFonts w:ascii="Times New Roman" w:hAnsi="Times New Roman" w:cs="Times New Roman"/>
          <w:sz w:val="28"/>
          <w:szCs w:val="28"/>
        </w:rPr>
        <w:t xml:space="preserve"> 15, 2016). </w:t>
      </w:r>
      <w:r w:rsidR="0015698B" w:rsidRPr="001A0628">
        <w:rPr>
          <w:rFonts w:ascii="Times New Roman" w:hAnsi="Times New Roman" w:cs="Times New Roman"/>
          <w:sz w:val="28"/>
          <w:szCs w:val="28"/>
          <w:lang w:val="en-US"/>
        </w:rPr>
        <w:t>Available</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at</w:t>
      </w:r>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SSRN</w:t>
      </w:r>
      <w:r w:rsidR="0015698B" w:rsidRPr="001A0628">
        <w:rPr>
          <w:rFonts w:ascii="Times New Roman" w:hAnsi="Times New Roman" w:cs="Times New Roman"/>
          <w:sz w:val="28"/>
          <w:szCs w:val="28"/>
        </w:rPr>
        <w:t xml:space="preserve"> (</w:t>
      </w:r>
      <w:hyperlink r:id="rId8" w:history="1">
        <w:r w:rsidR="0015698B" w:rsidRPr="001A0628">
          <w:rPr>
            <w:rStyle w:val="ac"/>
            <w:rFonts w:ascii="Times New Roman" w:hAnsi="Times New Roman" w:cs="Times New Roman"/>
            <w:sz w:val="28"/>
            <w:szCs w:val="28"/>
            <w:lang w:val="en-US"/>
          </w:rPr>
          <w:t>https</w:t>
        </w:r>
        <w:r w:rsidR="0015698B" w:rsidRPr="001A0628">
          <w:rPr>
            <w:rStyle w:val="ac"/>
            <w:rFonts w:ascii="Times New Roman" w:hAnsi="Times New Roman" w:cs="Times New Roman"/>
            <w:sz w:val="28"/>
            <w:szCs w:val="28"/>
          </w:rPr>
          <w:t>://</w:t>
        </w:r>
        <w:r w:rsidR="0015698B" w:rsidRPr="001A0628">
          <w:rPr>
            <w:rStyle w:val="ac"/>
            <w:rFonts w:ascii="Times New Roman" w:hAnsi="Times New Roman" w:cs="Times New Roman"/>
            <w:sz w:val="28"/>
            <w:szCs w:val="28"/>
            <w:lang w:val="en-US"/>
          </w:rPr>
          <w:t>ssrn</w:t>
        </w:r>
        <w:r w:rsidR="0015698B" w:rsidRPr="001A0628">
          <w:rPr>
            <w:rStyle w:val="ac"/>
            <w:rFonts w:ascii="Times New Roman" w:hAnsi="Times New Roman" w:cs="Times New Roman"/>
            <w:sz w:val="28"/>
            <w:szCs w:val="28"/>
          </w:rPr>
          <w:t>.</w:t>
        </w:r>
        <w:r w:rsidR="0015698B" w:rsidRPr="001A0628">
          <w:rPr>
            <w:rStyle w:val="ac"/>
            <w:rFonts w:ascii="Times New Roman" w:hAnsi="Times New Roman" w:cs="Times New Roman"/>
            <w:sz w:val="28"/>
            <w:szCs w:val="28"/>
            <w:lang w:val="en-US"/>
          </w:rPr>
          <w:t>com</w:t>
        </w:r>
        <w:r w:rsidR="0015698B" w:rsidRPr="001A0628">
          <w:rPr>
            <w:rStyle w:val="ac"/>
            <w:rFonts w:ascii="Times New Roman" w:hAnsi="Times New Roman" w:cs="Times New Roman"/>
            <w:sz w:val="28"/>
            <w:szCs w:val="28"/>
          </w:rPr>
          <w:t>/</w:t>
        </w:r>
        <w:r w:rsidR="0015698B" w:rsidRPr="001A0628">
          <w:rPr>
            <w:rStyle w:val="ac"/>
            <w:rFonts w:ascii="Times New Roman" w:hAnsi="Times New Roman" w:cs="Times New Roman"/>
            <w:sz w:val="28"/>
            <w:szCs w:val="28"/>
            <w:lang w:val="en-US"/>
          </w:rPr>
          <w:t>abstract</w:t>
        </w:r>
        <w:r w:rsidR="0015698B" w:rsidRPr="001A0628">
          <w:rPr>
            <w:rStyle w:val="ac"/>
            <w:rFonts w:ascii="Times New Roman" w:hAnsi="Times New Roman" w:cs="Times New Roman"/>
            <w:sz w:val="28"/>
            <w:szCs w:val="28"/>
          </w:rPr>
          <w:t>=2767341</w:t>
        </w:r>
      </w:hyperlink>
      <w:r w:rsidR="0015698B" w:rsidRPr="001A0628">
        <w:rPr>
          <w:rFonts w:ascii="Times New Roman" w:hAnsi="Times New Roman" w:cs="Times New Roman"/>
          <w:sz w:val="28"/>
          <w:szCs w:val="28"/>
        </w:rPr>
        <w:t xml:space="preserve"> </w:t>
      </w:r>
      <w:r w:rsidR="0015698B" w:rsidRPr="001A0628">
        <w:rPr>
          <w:rFonts w:ascii="Times New Roman" w:hAnsi="Times New Roman" w:cs="Times New Roman"/>
          <w:sz w:val="28"/>
          <w:szCs w:val="28"/>
          <w:lang w:val="en-US"/>
        </w:rPr>
        <w:t>or</w:t>
      </w:r>
      <w:r w:rsidR="0015698B" w:rsidRPr="001A0628">
        <w:rPr>
          <w:rFonts w:ascii="Times New Roman" w:hAnsi="Times New Roman" w:cs="Times New Roman"/>
          <w:sz w:val="28"/>
          <w:szCs w:val="28"/>
        </w:rPr>
        <w:t xml:space="preserve"> </w:t>
      </w:r>
      <w:hyperlink r:id="rId9" w:history="1">
        <w:r w:rsidR="0015698B" w:rsidRPr="001A0628">
          <w:rPr>
            <w:rStyle w:val="ac"/>
            <w:rFonts w:ascii="Times New Roman" w:hAnsi="Times New Roman" w:cs="Times New Roman"/>
            <w:sz w:val="28"/>
            <w:szCs w:val="28"/>
            <w:lang w:val="en-US"/>
          </w:rPr>
          <w:t>https</w:t>
        </w:r>
        <w:r w:rsidR="0015698B" w:rsidRPr="001A0628">
          <w:rPr>
            <w:rStyle w:val="ac"/>
            <w:rFonts w:ascii="Times New Roman" w:hAnsi="Times New Roman" w:cs="Times New Roman"/>
            <w:sz w:val="28"/>
            <w:szCs w:val="28"/>
          </w:rPr>
          <w:t>://</w:t>
        </w:r>
        <w:r w:rsidR="0015698B" w:rsidRPr="001A0628">
          <w:rPr>
            <w:rStyle w:val="ac"/>
            <w:rFonts w:ascii="Times New Roman" w:hAnsi="Times New Roman" w:cs="Times New Roman"/>
            <w:sz w:val="28"/>
            <w:szCs w:val="28"/>
            <w:lang w:val="en-US"/>
          </w:rPr>
          <w:t>dx</w:t>
        </w:r>
        <w:r w:rsidR="0015698B" w:rsidRPr="001A0628">
          <w:rPr>
            <w:rStyle w:val="ac"/>
            <w:rFonts w:ascii="Times New Roman" w:hAnsi="Times New Roman" w:cs="Times New Roman"/>
            <w:sz w:val="28"/>
            <w:szCs w:val="28"/>
          </w:rPr>
          <w:t>.</w:t>
        </w:r>
        <w:r w:rsidR="0015698B" w:rsidRPr="001A0628">
          <w:rPr>
            <w:rStyle w:val="ac"/>
            <w:rFonts w:ascii="Times New Roman" w:hAnsi="Times New Roman" w:cs="Times New Roman"/>
            <w:sz w:val="28"/>
            <w:szCs w:val="28"/>
            <w:lang w:val="en-US"/>
          </w:rPr>
          <w:t>doi</w:t>
        </w:r>
        <w:r w:rsidR="0015698B" w:rsidRPr="001A0628">
          <w:rPr>
            <w:rStyle w:val="ac"/>
            <w:rFonts w:ascii="Times New Roman" w:hAnsi="Times New Roman" w:cs="Times New Roman"/>
            <w:sz w:val="28"/>
            <w:szCs w:val="28"/>
          </w:rPr>
          <w:t>.</w:t>
        </w:r>
        <w:r w:rsidR="0015698B" w:rsidRPr="001A0628">
          <w:rPr>
            <w:rStyle w:val="ac"/>
            <w:rFonts w:ascii="Times New Roman" w:hAnsi="Times New Roman" w:cs="Times New Roman"/>
            <w:sz w:val="28"/>
            <w:szCs w:val="28"/>
            <w:lang w:val="en-US"/>
          </w:rPr>
          <w:t>org</w:t>
        </w:r>
        <w:r w:rsidR="0015698B" w:rsidRPr="001A0628">
          <w:rPr>
            <w:rStyle w:val="ac"/>
            <w:rFonts w:ascii="Times New Roman" w:hAnsi="Times New Roman" w:cs="Times New Roman"/>
            <w:sz w:val="28"/>
            <w:szCs w:val="28"/>
          </w:rPr>
          <w:t>/10.2139/</w:t>
        </w:r>
        <w:r w:rsidR="0015698B" w:rsidRPr="001A0628">
          <w:rPr>
            <w:rStyle w:val="ac"/>
            <w:rFonts w:ascii="Times New Roman" w:hAnsi="Times New Roman" w:cs="Times New Roman"/>
            <w:sz w:val="28"/>
            <w:szCs w:val="28"/>
            <w:lang w:val="en-US"/>
          </w:rPr>
          <w:t>ssrn</w:t>
        </w:r>
        <w:r w:rsidR="0015698B" w:rsidRPr="001A0628">
          <w:rPr>
            <w:rStyle w:val="ac"/>
            <w:rFonts w:ascii="Times New Roman" w:hAnsi="Times New Roman" w:cs="Times New Roman"/>
            <w:sz w:val="28"/>
            <w:szCs w:val="28"/>
          </w:rPr>
          <w:t>.2767341</w:t>
        </w:r>
      </w:hyperlink>
      <w:r w:rsidR="0015698B" w:rsidRPr="001A0628">
        <w:rPr>
          <w:rFonts w:ascii="Times New Roman" w:hAnsi="Times New Roman" w:cs="Times New Roman"/>
          <w:sz w:val="28"/>
          <w:szCs w:val="28"/>
        </w:rPr>
        <w:t xml:space="preserve"> (дата обращения: 17.01.2025.); Запрет азартных игр: социально-культурные последствия//</w:t>
      </w:r>
      <w:proofErr w:type="spellStart"/>
      <w:r w:rsidR="0015698B" w:rsidRPr="001A0628">
        <w:rPr>
          <w:rFonts w:ascii="Times New Roman" w:hAnsi="Times New Roman" w:cs="Times New Roman"/>
          <w:sz w:val="28"/>
          <w:szCs w:val="28"/>
          <w:lang w:val="en-US"/>
        </w:rPr>
        <w:t>zamanula</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ru</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zapret</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azartnyih</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igr</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sotsialno</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kulturnie</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posledstviya</w:t>
      </w:r>
      <w:proofErr w:type="spellEnd"/>
      <w:r w:rsidR="0015698B" w:rsidRPr="001A0628">
        <w:rPr>
          <w:rFonts w:ascii="Times New Roman" w:hAnsi="Times New Roman" w:cs="Times New Roman"/>
          <w:sz w:val="28"/>
          <w:szCs w:val="28"/>
        </w:rPr>
        <w:t xml:space="preserve"> (дата обращения: 17.01.2025.); Советов Д. И. Актуальные проблемы </w:t>
      </w:r>
      <w:proofErr w:type="spellStart"/>
      <w:r w:rsidR="0015698B" w:rsidRPr="001A0628">
        <w:rPr>
          <w:rFonts w:ascii="Times New Roman" w:hAnsi="Times New Roman" w:cs="Times New Roman"/>
          <w:sz w:val="28"/>
          <w:szCs w:val="28"/>
        </w:rPr>
        <w:t>прапвового</w:t>
      </w:r>
      <w:proofErr w:type="spellEnd"/>
      <w:r w:rsidR="0015698B" w:rsidRPr="001A0628">
        <w:rPr>
          <w:rFonts w:ascii="Times New Roman" w:hAnsi="Times New Roman" w:cs="Times New Roman"/>
          <w:sz w:val="28"/>
          <w:szCs w:val="28"/>
        </w:rPr>
        <w:t xml:space="preserve"> регулирования игорного бизнеса в России//Проблемы экономики и юридической практики. - № 6, 2017. – С. 162-165; </w:t>
      </w:r>
      <w:proofErr w:type="spellStart"/>
      <w:r w:rsidR="0015698B" w:rsidRPr="001A0628">
        <w:rPr>
          <w:rFonts w:ascii="Times New Roman" w:hAnsi="Times New Roman" w:cs="Times New Roman"/>
          <w:sz w:val="28"/>
          <w:szCs w:val="28"/>
        </w:rPr>
        <w:t>Степасюк</w:t>
      </w:r>
      <w:proofErr w:type="spellEnd"/>
      <w:r w:rsidR="0015698B" w:rsidRPr="001A0628">
        <w:rPr>
          <w:rFonts w:ascii="Times New Roman" w:hAnsi="Times New Roman" w:cs="Times New Roman"/>
          <w:sz w:val="28"/>
          <w:szCs w:val="28"/>
        </w:rPr>
        <w:t xml:space="preserve"> С. А. Проблемы государственного регулирования игорного бизнеса//Центр научного сотрудничества «</w:t>
      </w:r>
      <w:proofErr w:type="spellStart"/>
      <w:r w:rsidR="0015698B" w:rsidRPr="001A0628">
        <w:rPr>
          <w:rFonts w:ascii="Times New Roman" w:hAnsi="Times New Roman" w:cs="Times New Roman"/>
          <w:sz w:val="28"/>
          <w:szCs w:val="28"/>
        </w:rPr>
        <w:t>Интерактив</w:t>
      </w:r>
      <w:proofErr w:type="spellEnd"/>
      <w:r w:rsidR="0015698B" w:rsidRPr="001A0628">
        <w:rPr>
          <w:rFonts w:ascii="Times New Roman" w:hAnsi="Times New Roman" w:cs="Times New Roman"/>
          <w:sz w:val="28"/>
          <w:szCs w:val="28"/>
        </w:rPr>
        <w:t xml:space="preserve"> </w:t>
      </w:r>
      <w:proofErr w:type="gramStart"/>
      <w:r w:rsidR="0015698B" w:rsidRPr="001A0628">
        <w:rPr>
          <w:rFonts w:ascii="Times New Roman" w:hAnsi="Times New Roman" w:cs="Times New Roman"/>
          <w:sz w:val="28"/>
          <w:szCs w:val="28"/>
        </w:rPr>
        <w:t>плюс»//</w:t>
      </w:r>
      <w:proofErr w:type="spellStart"/>
      <w:r w:rsidR="0015698B" w:rsidRPr="001A0628">
        <w:rPr>
          <w:rFonts w:ascii="Times New Roman" w:hAnsi="Times New Roman" w:cs="Times New Roman"/>
          <w:sz w:val="28"/>
          <w:szCs w:val="28"/>
          <w:lang w:val="en-US"/>
        </w:rPr>
        <w:t>cyberleninka</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ru</w:t>
      </w:r>
      <w:proofErr w:type="spellEnd"/>
      <w:r w:rsidR="0015698B" w:rsidRPr="001A0628">
        <w:rPr>
          <w:rFonts w:ascii="Times New Roman" w:hAnsi="Times New Roman" w:cs="Times New Roman"/>
          <w:sz w:val="28"/>
          <w:szCs w:val="28"/>
        </w:rPr>
        <w:t>/</w:t>
      </w:r>
      <w:r w:rsidR="0015698B" w:rsidRPr="001A0628">
        <w:rPr>
          <w:rFonts w:ascii="Times New Roman" w:hAnsi="Times New Roman" w:cs="Times New Roman"/>
          <w:sz w:val="28"/>
          <w:szCs w:val="28"/>
          <w:lang w:val="en-US"/>
        </w:rPr>
        <w:t>article</w:t>
      </w:r>
      <w:r w:rsidR="0015698B" w:rsidRPr="001A0628">
        <w:rPr>
          <w:rFonts w:ascii="Times New Roman" w:hAnsi="Times New Roman" w:cs="Times New Roman"/>
          <w:sz w:val="28"/>
          <w:szCs w:val="28"/>
        </w:rPr>
        <w:t>/</w:t>
      </w:r>
      <w:r w:rsidR="0015698B" w:rsidRPr="001A0628">
        <w:rPr>
          <w:rFonts w:ascii="Times New Roman" w:hAnsi="Times New Roman" w:cs="Times New Roman"/>
          <w:sz w:val="28"/>
          <w:szCs w:val="28"/>
          <w:lang w:val="en-US"/>
        </w:rPr>
        <w:t>n</w:t>
      </w:r>
      <w:r w:rsidR="0015698B" w:rsidRPr="001A0628">
        <w:rPr>
          <w:rFonts w:ascii="Times New Roman" w:hAnsi="Times New Roman" w:cs="Times New Roman"/>
          <w:sz w:val="28"/>
          <w:szCs w:val="28"/>
        </w:rPr>
        <w:t>/</w:t>
      </w:r>
      <w:r w:rsidR="0015698B" w:rsidRPr="001A0628">
        <w:rPr>
          <w:rFonts w:ascii="Times New Roman" w:hAnsi="Times New Roman" w:cs="Times New Roman"/>
          <w:sz w:val="28"/>
          <w:szCs w:val="28"/>
          <w:lang w:val="en-US"/>
        </w:rPr>
        <w:t>problem</w:t>
      </w:r>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gosudarstvennogo</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regulirovaniya</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igornogo</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biznesa</w:t>
      </w:r>
      <w:proofErr w:type="spellEnd"/>
      <w:r w:rsidR="0015698B" w:rsidRPr="001A0628">
        <w:rPr>
          <w:rFonts w:ascii="Times New Roman" w:hAnsi="Times New Roman" w:cs="Times New Roman"/>
          <w:sz w:val="28"/>
          <w:szCs w:val="28"/>
        </w:rPr>
        <w:t>/</w:t>
      </w:r>
      <w:r w:rsidR="0015698B" w:rsidRPr="001A0628">
        <w:rPr>
          <w:rFonts w:ascii="Times New Roman" w:hAnsi="Times New Roman" w:cs="Times New Roman"/>
          <w:sz w:val="28"/>
          <w:szCs w:val="28"/>
          <w:lang w:val="en-US"/>
        </w:rPr>
        <w:t>viewer</w:t>
      </w:r>
      <w:proofErr w:type="gramEnd"/>
      <w:r w:rsidR="0015698B" w:rsidRPr="001A0628">
        <w:rPr>
          <w:rFonts w:ascii="Times New Roman" w:hAnsi="Times New Roman" w:cs="Times New Roman"/>
          <w:sz w:val="28"/>
          <w:szCs w:val="28"/>
        </w:rPr>
        <w:t xml:space="preserve"> (дата обращения: 17.01.2025.); Запрет на рекламы букмекеров: сокращение налоговых поступлений от рекламы </w:t>
      </w:r>
      <w:r w:rsidR="0015698B" w:rsidRPr="001A0628">
        <w:rPr>
          <w:rFonts w:ascii="Times New Roman" w:hAnsi="Times New Roman" w:cs="Times New Roman"/>
          <w:sz w:val="28"/>
          <w:szCs w:val="28"/>
        </w:rPr>
        <w:lastRenderedPageBreak/>
        <w:t>(21.06.2024.)//</w:t>
      </w:r>
      <w:r w:rsidR="0015698B" w:rsidRPr="001A0628">
        <w:rPr>
          <w:rFonts w:ascii="Times New Roman" w:hAnsi="Times New Roman" w:cs="Times New Roman"/>
          <w:sz w:val="28"/>
          <w:szCs w:val="28"/>
          <w:lang w:val="en-US"/>
        </w:rPr>
        <w:t>https</w:t>
      </w:r>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dnews</w:t>
      </w:r>
      <w:proofErr w:type="spellEnd"/>
      <w:r w:rsidR="0015698B" w:rsidRPr="001A0628">
        <w:rPr>
          <w:rFonts w:ascii="Times New Roman" w:hAnsi="Times New Roman" w:cs="Times New Roman"/>
          <w:sz w:val="28"/>
          <w:szCs w:val="28"/>
        </w:rPr>
        <w:t>/</w:t>
      </w:r>
      <w:proofErr w:type="spellStart"/>
      <w:r w:rsidR="0015698B" w:rsidRPr="001A0628">
        <w:rPr>
          <w:rFonts w:ascii="Times New Roman" w:hAnsi="Times New Roman" w:cs="Times New Roman"/>
          <w:sz w:val="28"/>
          <w:szCs w:val="28"/>
          <w:lang w:val="en-US"/>
        </w:rPr>
        <w:t>kz</w:t>
      </w:r>
      <w:proofErr w:type="spellEnd"/>
      <w:r w:rsidR="0015698B" w:rsidRPr="001A0628">
        <w:rPr>
          <w:rFonts w:ascii="Times New Roman" w:hAnsi="Times New Roman" w:cs="Times New Roman"/>
          <w:sz w:val="28"/>
          <w:szCs w:val="28"/>
        </w:rPr>
        <w:t>&gt; В стране запрет на рекламы букмекеров (дата обращения: 17.01.2025.).</w:t>
      </w:r>
    </w:p>
    <w:p w14:paraId="4578BC44" w14:textId="046E569E" w:rsidR="0015698B" w:rsidRPr="001A0628" w:rsidRDefault="0015698B" w:rsidP="004021D0">
      <w:pPr>
        <w:tabs>
          <w:tab w:val="left" w:pos="1134"/>
        </w:tabs>
        <w:spacing w:after="0"/>
        <w:ind w:firstLine="567"/>
        <w:jc w:val="both"/>
        <w:rPr>
          <w:rFonts w:ascii="Times New Roman" w:hAnsi="Times New Roman" w:cs="Times New Roman"/>
          <w:sz w:val="28"/>
          <w:szCs w:val="28"/>
          <w:lang w:val="en-US"/>
        </w:rPr>
      </w:pPr>
      <w:r w:rsidRPr="006905BD">
        <w:rPr>
          <w:rFonts w:ascii="Times New Roman" w:hAnsi="Times New Roman" w:cs="Times New Roman"/>
          <w:sz w:val="28"/>
          <w:szCs w:val="28"/>
        </w:rPr>
        <w:t xml:space="preserve"> </w:t>
      </w:r>
      <w:r w:rsidRPr="001A0628">
        <w:rPr>
          <w:rFonts w:ascii="Times New Roman" w:hAnsi="Times New Roman" w:cs="Times New Roman"/>
          <w:sz w:val="28"/>
          <w:szCs w:val="28"/>
          <w:lang w:val="en-US"/>
        </w:rPr>
        <w:t xml:space="preserve">11. Himanshu Gupta, Noemi Tari-Keresztes, David Aanundsen, James A. Smith (2025).” When People </w:t>
      </w:r>
      <w:proofErr w:type="gramStart"/>
      <w:r w:rsidRPr="001A0628">
        <w:rPr>
          <w:rFonts w:ascii="Times New Roman" w:hAnsi="Times New Roman" w:cs="Times New Roman"/>
          <w:sz w:val="28"/>
          <w:szCs w:val="28"/>
          <w:lang w:val="en-US"/>
        </w:rPr>
        <w:t>Reach</w:t>
      </w:r>
      <w:proofErr w:type="gramEnd"/>
      <w:r w:rsidRPr="001A0628">
        <w:rPr>
          <w:rFonts w:ascii="Times New Roman" w:hAnsi="Times New Roman" w:cs="Times New Roman"/>
          <w:sz w:val="28"/>
          <w:szCs w:val="28"/>
          <w:lang w:val="en-US"/>
        </w:rPr>
        <w:t xml:space="preserve"> Out that is When </w:t>
      </w:r>
      <w:proofErr w:type="spellStart"/>
      <w:r w:rsidRPr="001A0628">
        <w:rPr>
          <w:rFonts w:ascii="Times New Roman" w:hAnsi="Times New Roman" w:cs="Times New Roman"/>
          <w:sz w:val="28"/>
          <w:szCs w:val="28"/>
          <w:lang w:val="en-US"/>
        </w:rPr>
        <w:t>They´reDesperate</w:t>
      </w:r>
      <w:proofErr w:type="spellEnd"/>
      <w:r w:rsidRPr="001A0628">
        <w:rPr>
          <w:rFonts w:ascii="Times New Roman" w:hAnsi="Times New Roman" w:cs="Times New Roman"/>
          <w:sz w:val="28"/>
          <w:szCs w:val="28"/>
          <w:lang w:val="en-US"/>
        </w:rPr>
        <w:t>”: Understanding Informal and Formal Help-Seeking Practice for Gambling among Aboriginal Peoples in the Northern Territory, Australia. Journal Springer. //https://link.springer.com/article/10/1007/s10899-024-10371-x (</w:t>
      </w:r>
      <w:r w:rsidRPr="001A0628">
        <w:rPr>
          <w:rFonts w:ascii="Times New Roman" w:hAnsi="Times New Roman" w:cs="Times New Roman"/>
          <w:sz w:val="28"/>
          <w:szCs w:val="28"/>
        </w:rPr>
        <w:t>дата</w:t>
      </w:r>
      <w:r w:rsidRPr="001A0628">
        <w:rPr>
          <w:rFonts w:ascii="Times New Roman" w:hAnsi="Times New Roman" w:cs="Times New Roman"/>
          <w:sz w:val="28"/>
          <w:szCs w:val="28"/>
          <w:lang w:val="en-US"/>
        </w:rPr>
        <w:t xml:space="preserve"> </w:t>
      </w:r>
      <w:r w:rsidRPr="001A0628">
        <w:rPr>
          <w:rFonts w:ascii="Times New Roman" w:hAnsi="Times New Roman" w:cs="Times New Roman"/>
          <w:sz w:val="28"/>
          <w:szCs w:val="28"/>
        </w:rPr>
        <w:t>обращения</w:t>
      </w:r>
      <w:r w:rsidRPr="001A0628">
        <w:rPr>
          <w:rFonts w:ascii="Times New Roman" w:hAnsi="Times New Roman" w:cs="Times New Roman"/>
          <w:sz w:val="28"/>
          <w:szCs w:val="28"/>
          <w:lang w:val="en-US"/>
        </w:rPr>
        <w:t xml:space="preserve">: 02.02.2025.); Gupta, H., Tari-Keresztes, N., Aanundsen, D., &amp; Smith, J. A. (2024). It´s gambling obviously not regulated that well: Insights into Aboriginal peoples´ views on gambling regulation in the </w:t>
      </w:r>
      <w:proofErr w:type="spellStart"/>
      <w:r w:rsidRPr="001A0628">
        <w:rPr>
          <w:rFonts w:ascii="Times New Roman" w:hAnsi="Times New Roman" w:cs="Times New Roman"/>
          <w:sz w:val="28"/>
          <w:szCs w:val="28"/>
          <w:lang w:val="en-US"/>
        </w:rPr>
        <w:t>Notheren</w:t>
      </w:r>
      <w:proofErr w:type="spellEnd"/>
      <w:r w:rsidRPr="001A0628">
        <w:rPr>
          <w:rFonts w:ascii="Times New Roman" w:hAnsi="Times New Roman" w:cs="Times New Roman"/>
          <w:sz w:val="28"/>
          <w:szCs w:val="28"/>
          <w:lang w:val="en-US"/>
        </w:rPr>
        <w:t xml:space="preserve"> Territory of Australia. Journal of Public Health (Berl). </w:t>
      </w:r>
      <w:hyperlink r:id="rId10" w:history="1">
        <w:r w:rsidRPr="001A0628">
          <w:rPr>
            <w:rStyle w:val="ac"/>
            <w:rFonts w:ascii="Times New Roman" w:hAnsi="Times New Roman" w:cs="Times New Roman"/>
            <w:sz w:val="28"/>
            <w:szCs w:val="28"/>
            <w:lang w:val="en-US"/>
          </w:rPr>
          <w:t>https://doi.org/10.1007/s10389-024-02352-6</w:t>
        </w:r>
      </w:hyperlink>
      <w:r w:rsidRPr="001A0628">
        <w:rPr>
          <w:rFonts w:ascii="Times New Roman" w:hAnsi="Times New Roman" w:cs="Times New Roman"/>
          <w:sz w:val="28"/>
          <w:szCs w:val="28"/>
          <w:lang w:val="en-US"/>
        </w:rPr>
        <w:t xml:space="preserve"> (</w:t>
      </w:r>
      <w:r w:rsidRPr="001A0628">
        <w:rPr>
          <w:rFonts w:ascii="Times New Roman" w:hAnsi="Times New Roman" w:cs="Times New Roman"/>
          <w:sz w:val="28"/>
          <w:szCs w:val="28"/>
        </w:rPr>
        <w:t>дата</w:t>
      </w:r>
      <w:r w:rsidRPr="001A0628">
        <w:rPr>
          <w:rFonts w:ascii="Times New Roman" w:hAnsi="Times New Roman" w:cs="Times New Roman"/>
          <w:sz w:val="28"/>
          <w:szCs w:val="28"/>
          <w:lang w:val="en-US"/>
        </w:rPr>
        <w:t xml:space="preserve"> </w:t>
      </w:r>
      <w:r w:rsidRPr="001A0628">
        <w:rPr>
          <w:rFonts w:ascii="Times New Roman" w:hAnsi="Times New Roman" w:cs="Times New Roman"/>
          <w:sz w:val="28"/>
          <w:szCs w:val="28"/>
        </w:rPr>
        <w:t>обращения</w:t>
      </w:r>
      <w:r w:rsidRPr="001A0628">
        <w:rPr>
          <w:rFonts w:ascii="Times New Roman" w:hAnsi="Times New Roman" w:cs="Times New Roman"/>
          <w:sz w:val="28"/>
          <w:szCs w:val="28"/>
          <w:lang w:val="en-US"/>
        </w:rPr>
        <w:t xml:space="preserve">: 02.02.2025.); Cristofer G. Floyd, Alexander J. Connolly, Regina K. Tahk, Lindsay M. Stall, Shane W. Kraus, Joshua B. Grubbs. (2025). The Role of Social Deficits in the Link </w:t>
      </w:r>
      <w:proofErr w:type="gramStart"/>
      <w:r w:rsidRPr="001A0628">
        <w:rPr>
          <w:rFonts w:ascii="Times New Roman" w:hAnsi="Times New Roman" w:cs="Times New Roman"/>
          <w:sz w:val="28"/>
          <w:szCs w:val="28"/>
          <w:lang w:val="en-US"/>
        </w:rPr>
        <w:t>Between  Social</w:t>
      </w:r>
      <w:proofErr w:type="gramEnd"/>
      <w:r w:rsidRPr="001A0628">
        <w:rPr>
          <w:rFonts w:ascii="Times New Roman" w:hAnsi="Times New Roman" w:cs="Times New Roman"/>
          <w:sz w:val="28"/>
          <w:szCs w:val="28"/>
          <w:lang w:val="en-US"/>
        </w:rPr>
        <w:t xml:space="preserve"> Gambling Motives and Problem Gambling//https://link.springer.com/article/10.1007/s10899-025-10374-2 (</w:t>
      </w:r>
      <w:r w:rsidRPr="001A0628">
        <w:rPr>
          <w:rFonts w:ascii="Times New Roman" w:hAnsi="Times New Roman" w:cs="Times New Roman"/>
          <w:sz w:val="28"/>
          <w:szCs w:val="28"/>
        </w:rPr>
        <w:t>дата</w:t>
      </w:r>
      <w:r w:rsidRPr="001A0628">
        <w:rPr>
          <w:rFonts w:ascii="Times New Roman" w:hAnsi="Times New Roman" w:cs="Times New Roman"/>
          <w:sz w:val="28"/>
          <w:szCs w:val="28"/>
          <w:lang w:val="en-US"/>
        </w:rPr>
        <w:t xml:space="preserve"> </w:t>
      </w:r>
      <w:r w:rsidRPr="001A0628">
        <w:rPr>
          <w:rFonts w:ascii="Times New Roman" w:hAnsi="Times New Roman" w:cs="Times New Roman"/>
          <w:sz w:val="28"/>
          <w:szCs w:val="28"/>
        </w:rPr>
        <w:t>обращения</w:t>
      </w:r>
      <w:r w:rsidRPr="001A0628">
        <w:rPr>
          <w:rFonts w:ascii="Times New Roman" w:hAnsi="Times New Roman" w:cs="Times New Roman"/>
          <w:sz w:val="28"/>
          <w:szCs w:val="28"/>
          <w:lang w:val="en-US"/>
        </w:rPr>
        <w:t>: 02.02.2025.)</w:t>
      </w:r>
    </w:p>
    <w:p w14:paraId="43DB49BB" w14:textId="64DD06A4" w:rsidR="0015698B" w:rsidRPr="001A0628" w:rsidRDefault="0015698B" w:rsidP="004021D0">
      <w:pPr>
        <w:tabs>
          <w:tab w:val="left" w:pos="1134"/>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12. Проблемы игорного бизнеса и лотереи в Казахстане и пути их решения (</w:t>
      </w:r>
      <w:proofErr w:type="gramStart"/>
      <w:r w:rsidRPr="001A0628">
        <w:rPr>
          <w:rFonts w:ascii="Times New Roman" w:hAnsi="Times New Roman" w:cs="Times New Roman"/>
          <w:sz w:val="28"/>
          <w:szCs w:val="28"/>
        </w:rPr>
        <w:t>22.09.2023.)//</w:t>
      </w:r>
      <w:r w:rsidRPr="001A0628">
        <w:rPr>
          <w:rFonts w:ascii="Times New Roman" w:hAnsi="Times New Roman" w:cs="Times New Roman"/>
          <w:sz w:val="28"/>
          <w:szCs w:val="28"/>
          <w:lang w:val="en-US"/>
        </w:rPr>
        <w:t>inform</w:t>
      </w:r>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kz</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ru</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igornie</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biznes</w:t>
      </w:r>
      <w:proofErr w:type="spellEnd"/>
      <w:r w:rsidRPr="001A0628">
        <w:rPr>
          <w:rFonts w:ascii="Times New Roman" w:hAnsi="Times New Roman" w:cs="Times New Roman"/>
          <w:sz w:val="28"/>
          <w:szCs w:val="28"/>
        </w:rPr>
        <w:t>-</w:t>
      </w:r>
      <w:r w:rsidRPr="001A0628">
        <w:rPr>
          <w:rFonts w:ascii="Times New Roman" w:hAnsi="Times New Roman" w:cs="Times New Roman"/>
          <w:sz w:val="28"/>
          <w:szCs w:val="28"/>
          <w:lang w:val="en-US"/>
        </w:rPr>
        <w:t>v</w:t>
      </w:r>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kazakhstane</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est</w:t>
      </w:r>
      <w:proofErr w:type="spellEnd"/>
      <w:r w:rsidRPr="001A0628">
        <w:rPr>
          <w:rFonts w:ascii="Times New Roman" w:hAnsi="Times New Roman" w:cs="Times New Roman"/>
          <w:sz w:val="28"/>
          <w:szCs w:val="28"/>
        </w:rPr>
        <w:t>-</w:t>
      </w:r>
      <w:r w:rsidRPr="001A0628">
        <w:rPr>
          <w:rFonts w:ascii="Times New Roman" w:hAnsi="Times New Roman" w:cs="Times New Roman"/>
          <w:sz w:val="28"/>
          <w:szCs w:val="28"/>
          <w:lang w:val="en-US"/>
        </w:rPr>
        <w:t>li</w:t>
      </w:r>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polza</w:t>
      </w:r>
      <w:proofErr w:type="spellEnd"/>
      <w:r w:rsidRPr="001A0628">
        <w:rPr>
          <w:rFonts w:ascii="Times New Roman" w:hAnsi="Times New Roman" w:cs="Times New Roman"/>
          <w:sz w:val="28"/>
          <w:szCs w:val="28"/>
        </w:rPr>
        <w:t>-</w:t>
      </w:r>
      <w:proofErr w:type="spellStart"/>
      <w:r w:rsidRPr="001A0628">
        <w:rPr>
          <w:rFonts w:ascii="Times New Roman" w:hAnsi="Times New Roman" w:cs="Times New Roman"/>
          <w:sz w:val="28"/>
          <w:szCs w:val="28"/>
          <w:lang w:val="en-US"/>
        </w:rPr>
        <w:t>Ofecct</w:t>
      </w:r>
      <w:proofErr w:type="spellEnd"/>
      <w:proofErr w:type="gramEnd"/>
      <w:r w:rsidRPr="001A0628">
        <w:rPr>
          <w:rFonts w:ascii="Times New Roman" w:hAnsi="Times New Roman" w:cs="Times New Roman"/>
          <w:sz w:val="28"/>
          <w:szCs w:val="28"/>
        </w:rPr>
        <w:t xml:space="preserve"> (дата обращения: 17.01.2025.).</w:t>
      </w:r>
    </w:p>
    <w:p w14:paraId="4EA85A48" w14:textId="08291518" w:rsidR="0015698B" w:rsidRPr="001A0628" w:rsidRDefault="0015698B" w:rsidP="004021D0">
      <w:pPr>
        <w:tabs>
          <w:tab w:val="left" w:pos="1134"/>
        </w:tabs>
        <w:spacing w:after="0"/>
        <w:ind w:firstLine="567"/>
        <w:jc w:val="both"/>
        <w:rPr>
          <w:rFonts w:ascii="Times New Roman" w:hAnsi="Times New Roman" w:cs="Times New Roman"/>
          <w:sz w:val="28"/>
          <w:szCs w:val="28"/>
        </w:rPr>
      </w:pPr>
      <w:r w:rsidRPr="001A0628">
        <w:rPr>
          <w:rFonts w:ascii="Times New Roman" w:hAnsi="Times New Roman" w:cs="Times New Roman"/>
          <w:sz w:val="28"/>
          <w:szCs w:val="28"/>
        </w:rPr>
        <w:t xml:space="preserve">13. </w:t>
      </w:r>
      <w:proofErr w:type="spellStart"/>
      <w:r w:rsidRPr="001A0628">
        <w:rPr>
          <w:rFonts w:ascii="Times New Roman" w:hAnsi="Times New Roman" w:cs="Times New Roman"/>
          <w:sz w:val="28"/>
          <w:szCs w:val="28"/>
        </w:rPr>
        <w:t>Бурибаев</w:t>
      </w:r>
      <w:proofErr w:type="spellEnd"/>
      <w:r w:rsidRPr="001A0628">
        <w:rPr>
          <w:rFonts w:ascii="Times New Roman" w:hAnsi="Times New Roman" w:cs="Times New Roman"/>
          <w:sz w:val="28"/>
          <w:szCs w:val="28"/>
        </w:rPr>
        <w:t xml:space="preserve"> Е. А., Хамзина Ж. А. Аналитический обзор исследований по проблемам зависимости от азартных игр//</w:t>
      </w:r>
      <w:proofErr w:type="spellStart"/>
      <w:r w:rsidRPr="001A0628">
        <w:rPr>
          <w:rFonts w:ascii="Times New Roman" w:hAnsi="Times New Roman" w:cs="Times New Roman"/>
          <w:sz w:val="28"/>
          <w:szCs w:val="28"/>
        </w:rPr>
        <w:t>Хабаршы</w:t>
      </w:r>
      <w:proofErr w:type="spellEnd"/>
      <w:r w:rsidRPr="001A0628">
        <w:rPr>
          <w:rFonts w:ascii="Times New Roman" w:hAnsi="Times New Roman" w:cs="Times New Roman"/>
          <w:sz w:val="28"/>
          <w:szCs w:val="28"/>
        </w:rPr>
        <w:t xml:space="preserve">/Вестник </w:t>
      </w:r>
      <w:proofErr w:type="spellStart"/>
      <w:r w:rsidRPr="001A0628">
        <w:rPr>
          <w:rFonts w:ascii="Times New Roman" w:hAnsi="Times New Roman" w:cs="Times New Roman"/>
          <w:sz w:val="28"/>
          <w:szCs w:val="28"/>
        </w:rPr>
        <w:t>КазНПУ</w:t>
      </w:r>
      <w:proofErr w:type="spellEnd"/>
      <w:r w:rsidRPr="001A0628">
        <w:rPr>
          <w:rFonts w:ascii="Times New Roman" w:hAnsi="Times New Roman" w:cs="Times New Roman"/>
          <w:sz w:val="28"/>
          <w:szCs w:val="28"/>
        </w:rPr>
        <w:t xml:space="preserve"> им. Абая, Серия «Юриспруденция», № 2(76), 2024. – С. 11-22.</w:t>
      </w:r>
    </w:p>
    <w:p w14:paraId="0E2EFB87" w14:textId="77777777" w:rsidR="00015050" w:rsidRPr="001A0628" w:rsidRDefault="00015050" w:rsidP="004021D0">
      <w:pPr>
        <w:tabs>
          <w:tab w:val="left" w:pos="1134"/>
        </w:tabs>
        <w:spacing w:after="0"/>
        <w:ind w:firstLine="567"/>
        <w:jc w:val="both"/>
        <w:rPr>
          <w:rFonts w:ascii="Times New Roman" w:hAnsi="Times New Roman" w:cs="Times New Roman"/>
          <w:sz w:val="28"/>
          <w:szCs w:val="28"/>
        </w:rPr>
      </w:pPr>
    </w:p>
    <w:sectPr w:rsidR="00015050" w:rsidRPr="001A0628" w:rsidSect="00D239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FA9"/>
    <w:multiLevelType w:val="hybridMultilevel"/>
    <w:tmpl w:val="A6A0D616"/>
    <w:lvl w:ilvl="0" w:tplc="5FDA8D3C">
      <w:start w:val="3"/>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1" w15:restartNumberingAfterBreak="0">
    <w:nsid w:val="0FD22C0D"/>
    <w:multiLevelType w:val="hybridMultilevel"/>
    <w:tmpl w:val="F830E9BC"/>
    <w:lvl w:ilvl="0" w:tplc="1314293A">
      <w:start w:val="1"/>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2" w15:restartNumberingAfterBreak="0">
    <w:nsid w:val="53301257"/>
    <w:multiLevelType w:val="hybridMultilevel"/>
    <w:tmpl w:val="F17E0EFE"/>
    <w:lvl w:ilvl="0" w:tplc="C1B00CE4">
      <w:start w:val="1"/>
      <w:numFmt w:val="decimal"/>
      <w:lvlText w:val="%1."/>
      <w:lvlJc w:val="left"/>
      <w:pPr>
        <w:ind w:left="600" w:hanging="36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3" w15:restartNumberingAfterBreak="0">
    <w:nsid w:val="548C42EC"/>
    <w:multiLevelType w:val="hybridMultilevel"/>
    <w:tmpl w:val="B8E0198A"/>
    <w:lvl w:ilvl="0" w:tplc="F2D46A02">
      <w:start w:val="6"/>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4" w15:restartNumberingAfterBreak="0">
    <w:nsid w:val="62255F1B"/>
    <w:multiLevelType w:val="hybridMultilevel"/>
    <w:tmpl w:val="22D6EBC2"/>
    <w:lvl w:ilvl="0" w:tplc="F8F8D80E">
      <w:start w:val="1"/>
      <w:numFmt w:val="decimal"/>
      <w:lvlText w:val="%1."/>
      <w:lvlJc w:val="left"/>
      <w:pPr>
        <w:ind w:left="600" w:hanging="36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5" w15:restartNumberingAfterBreak="0">
    <w:nsid w:val="682B16A0"/>
    <w:multiLevelType w:val="hybridMultilevel"/>
    <w:tmpl w:val="3172517A"/>
    <w:lvl w:ilvl="0" w:tplc="2ED286CE">
      <w:start w:val="3"/>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6" w15:restartNumberingAfterBreak="0">
    <w:nsid w:val="6EEF1A7D"/>
    <w:multiLevelType w:val="hybridMultilevel"/>
    <w:tmpl w:val="8B92F06E"/>
    <w:lvl w:ilvl="0" w:tplc="250EF410">
      <w:start w:val="1"/>
      <w:numFmt w:val="decimal"/>
      <w:lvlText w:val="%1."/>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8B"/>
    <w:rsid w:val="00015050"/>
    <w:rsid w:val="0005379F"/>
    <w:rsid w:val="000B6A28"/>
    <w:rsid w:val="000F4E9C"/>
    <w:rsid w:val="0015698B"/>
    <w:rsid w:val="001A0628"/>
    <w:rsid w:val="00242BCA"/>
    <w:rsid w:val="00260A0E"/>
    <w:rsid w:val="00386877"/>
    <w:rsid w:val="004021D0"/>
    <w:rsid w:val="00415D4C"/>
    <w:rsid w:val="006905BD"/>
    <w:rsid w:val="007F0630"/>
    <w:rsid w:val="008224D0"/>
    <w:rsid w:val="00947301"/>
    <w:rsid w:val="00CB03A0"/>
    <w:rsid w:val="00D20761"/>
    <w:rsid w:val="00D23965"/>
    <w:rsid w:val="00F13B55"/>
    <w:rsid w:val="00F40123"/>
    <w:rsid w:val="00F527D3"/>
    <w:rsid w:val="00FB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DFB3"/>
  <w15:chartTrackingRefBased/>
  <w15:docId w15:val="{425C5E47-6E22-4E26-9060-8CE4A3F5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98B"/>
  </w:style>
  <w:style w:type="paragraph" w:styleId="1">
    <w:name w:val="heading 1"/>
    <w:basedOn w:val="a"/>
    <w:next w:val="a"/>
    <w:link w:val="10"/>
    <w:uiPriority w:val="9"/>
    <w:qFormat/>
    <w:rsid w:val="00156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56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569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569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569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569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69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69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69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9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569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569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569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569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569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698B"/>
    <w:rPr>
      <w:rFonts w:eastAsiaTheme="majorEastAsia" w:cstheme="majorBidi"/>
      <w:color w:val="595959" w:themeColor="text1" w:themeTint="A6"/>
    </w:rPr>
  </w:style>
  <w:style w:type="character" w:customStyle="1" w:styleId="80">
    <w:name w:val="Заголовок 8 Знак"/>
    <w:basedOn w:val="a0"/>
    <w:link w:val="8"/>
    <w:uiPriority w:val="9"/>
    <w:semiHidden/>
    <w:rsid w:val="001569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698B"/>
    <w:rPr>
      <w:rFonts w:eastAsiaTheme="majorEastAsia" w:cstheme="majorBidi"/>
      <w:color w:val="272727" w:themeColor="text1" w:themeTint="D8"/>
    </w:rPr>
  </w:style>
  <w:style w:type="paragraph" w:styleId="a3">
    <w:name w:val="Title"/>
    <w:basedOn w:val="a"/>
    <w:next w:val="a"/>
    <w:link w:val="a4"/>
    <w:uiPriority w:val="10"/>
    <w:qFormat/>
    <w:rsid w:val="00156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6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9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569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698B"/>
    <w:pPr>
      <w:spacing w:before="160"/>
      <w:jc w:val="center"/>
    </w:pPr>
    <w:rPr>
      <w:i/>
      <w:iCs/>
      <w:color w:val="404040" w:themeColor="text1" w:themeTint="BF"/>
    </w:rPr>
  </w:style>
  <w:style w:type="character" w:customStyle="1" w:styleId="22">
    <w:name w:val="Цитата 2 Знак"/>
    <w:basedOn w:val="a0"/>
    <w:link w:val="21"/>
    <w:uiPriority w:val="29"/>
    <w:rsid w:val="0015698B"/>
    <w:rPr>
      <w:i/>
      <w:iCs/>
      <w:color w:val="404040" w:themeColor="text1" w:themeTint="BF"/>
    </w:rPr>
  </w:style>
  <w:style w:type="paragraph" w:styleId="a7">
    <w:name w:val="List Paragraph"/>
    <w:basedOn w:val="a"/>
    <w:uiPriority w:val="34"/>
    <w:qFormat/>
    <w:rsid w:val="0015698B"/>
    <w:pPr>
      <w:ind w:left="720"/>
      <w:contextualSpacing/>
    </w:pPr>
  </w:style>
  <w:style w:type="character" w:styleId="a8">
    <w:name w:val="Intense Emphasis"/>
    <w:basedOn w:val="a0"/>
    <w:uiPriority w:val="21"/>
    <w:qFormat/>
    <w:rsid w:val="0015698B"/>
    <w:rPr>
      <w:i/>
      <w:iCs/>
      <w:color w:val="0F4761" w:themeColor="accent1" w:themeShade="BF"/>
    </w:rPr>
  </w:style>
  <w:style w:type="paragraph" w:styleId="a9">
    <w:name w:val="Intense Quote"/>
    <w:basedOn w:val="a"/>
    <w:next w:val="a"/>
    <w:link w:val="aa"/>
    <w:uiPriority w:val="30"/>
    <w:qFormat/>
    <w:rsid w:val="00156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5698B"/>
    <w:rPr>
      <w:i/>
      <w:iCs/>
      <w:color w:val="0F4761" w:themeColor="accent1" w:themeShade="BF"/>
    </w:rPr>
  </w:style>
  <w:style w:type="character" w:styleId="ab">
    <w:name w:val="Intense Reference"/>
    <w:basedOn w:val="a0"/>
    <w:uiPriority w:val="32"/>
    <w:qFormat/>
    <w:rsid w:val="0015698B"/>
    <w:rPr>
      <w:b/>
      <w:bCs/>
      <w:smallCaps/>
      <w:color w:val="0F4761" w:themeColor="accent1" w:themeShade="BF"/>
      <w:spacing w:val="5"/>
    </w:rPr>
  </w:style>
  <w:style w:type="character" w:styleId="ac">
    <w:name w:val="Hyperlink"/>
    <w:basedOn w:val="a0"/>
    <w:uiPriority w:val="99"/>
    <w:unhideWhenUsed/>
    <w:rsid w:val="0015698B"/>
    <w:rPr>
      <w:color w:val="467886" w:themeColor="hyperlink"/>
      <w:u w:val="single"/>
    </w:rPr>
  </w:style>
  <w:style w:type="character" w:customStyle="1" w:styleId="UnresolvedMention">
    <w:name w:val="Unresolved Mention"/>
    <w:basedOn w:val="a0"/>
    <w:uiPriority w:val="99"/>
    <w:semiHidden/>
    <w:unhideWhenUsed/>
    <w:rsid w:val="0015698B"/>
    <w:rPr>
      <w:color w:val="605E5C"/>
      <w:shd w:val="clear" w:color="auto" w:fill="E1DFDD"/>
    </w:rPr>
  </w:style>
  <w:style w:type="table" w:styleId="ad">
    <w:name w:val="Table Grid"/>
    <w:basedOn w:val="a1"/>
    <w:uiPriority w:val="39"/>
    <w:rsid w:val="0015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5D4C"/>
    <w:pPr>
      <w:autoSpaceDE w:val="0"/>
      <w:autoSpaceDN w:val="0"/>
      <w:adjustRightInd w:val="0"/>
      <w:spacing w:after="0" w:line="240" w:lineRule="auto"/>
    </w:pPr>
    <w:rPr>
      <w:rFonts w:ascii="Times New Roman" w:eastAsia="SimSun" w:hAnsi="Times New Roman" w:cs="Times New Roman"/>
      <w:color w:val="000000"/>
      <w:kern w:val="0"/>
      <w:sz w:val="24"/>
      <w:szCs w:val="24"/>
      <w:lang w:eastAsia="ru-RU"/>
      <w14:ligatures w14:val="none"/>
    </w:rPr>
  </w:style>
  <w:style w:type="character" w:customStyle="1" w:styleId="ezkurwreuab5ozgtqnkl">
    <w:name w:val="ezkurwreuab5ozgtqnkl"/>
    <w:basedOn w:val="a0"/>
    <w:rsid w:val="0024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2767341" TargetMode="External"/><Relationship Id="rId3" Type="http://schemas.openxmlformats.org/officeDocument/2006/relationships/settings" Target="settings.xml"/><Relationship Id="rId7" Type="http://schemas.openxmlformats.org/officeDocument/2006/relationships/hyperlink" Target="https://kapital.kz/business/74748/chto-zhdet-igornyy-biznes-v-2019-god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kz/kazino-nalogi-vyruchka-" TargetMode="External"/><Relationship Id="rId11" Type="http://schemas.openxmlformats.org/officeDocument/2006/relationships/fontTable" Target="fontTable.xml"/><Relationship Id="rId5" Type="http://schemas.openxmlformats.org/officeDocument/2006/relationships/hyperlink" Target="mailto:madina_khv@mail.ru" TargetMode="External"/><Relationship Id="rId10" Type="http://schemas.openxmlformats.org/officeDocument/2006/relationships/hyperlink" Target="https://doi.org/10.1007/s10389-024-02352-6" TargetMode="External"/><Relationship Id="rId4" Type="http://schemas.openxmlformats.org/officeDocument/2006/relationships/webSettings" Target="webSettings.xml"/><Relationship Id="rId9" Type="http://schemas.openxmlformats.org/officeDocument/2006/relationships/hyperlink" Target="https://dx.doi.org/10.2139/ssrn.2767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4231</Words>
  <Characters>24122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Хведелидзе</dc:creator>
  <cp:keywords/>
  <dc:description/>
  <cp:lastModifiedBy>Admin</cp:lastModifiedBy>
  <cp:revision>12</cp:revision>
  <dcterms:created xsi:type="dcterms:W3CDTF">2025-02-02T14:42:00Z</dcterms:created>
  <dcterms:modified xsi:type="dcterms:W3CDTF">2025-05-10T10:10:00Z</dcterms:modified>
</cp:coreProperties>
</file>