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3E6AB" w14:textId="38FFE885" w:rsidR="00CD684E" w:rsidRPr="00F902B5" w:rsidRDefault="00CD684E" w:rsidP="00CD684E">
      <w:pPr>
        <w:spacing w:after="0"/>
        <w:rPr>
          <w:rFonts w:ascii="Times New Roman" w:hAnsi="Times New Roman" w:cs="Times New Roman"/>
          <w:b/>
          <w:sz w:val="28"/>
          <w:szCs w:val="28"/>
        </w:rPr>
      </w:pPr>
      <w:r w:rsidRPr="00F902B5">
        <w:rPr>
          <w:rFonts w:ascii="Times New Roman" w:hAnsi="Times New Roman" w:cs="Times New Roman"/>
          <w:b/>
          <w:sz w:val="28"/>
          <w:szCs w:val="28"/>
        </w:rPr>
        <w:t>ӘОЖ 338.984</w:t>
      </w:r>
    </w:p>
    <w:p w14:paraId="0D0650D8" w14:textId="77777777" w:rsidR="00CD684E" w:rsidRPr="006054A4" w:rsidRDefault="00CD684E" w:rsidP="00CD684E">
      <w:pPr>
        <w:spacing w:after="0"/>
        <w:rPr>
          <w:rFonts w:ascii="Times New Roman" w:hAnsi="Times New Roman" w:cs="Times New Roman"/>
          <w:sz w:val="28"/>
          <w:szCs w:val="28"/>
        </w:rPr>
      </w:pPr>
    </w:p>
    <w:p w14:paraId="3FCCCAD6" w14:textId="729F10E1" w:rsidR="006054A4" w:rsidRDefault="006054A4" w:rsidP="00A10878">
      <w:pPr>
        <w:spacing w:after="0"/>
        <w:jc w:val="center"/>
        <w:rPr>
          <w:rFonts w:ascii="Times New Roman" w:hAnsi="Times New Roman" w:cs="Times New Roman"/>
          <w:b/>
          <w:bCs/>
          <w:sz w:val="28"/>
          <w:szCs w:val="28"/>
        </w:rPr>
      </w:pPr>
      <w:r>
        <w:rPr>
          <w:rFonts w:ascii="Times New Roman" w:hAnsi="Times New Roman" w:cs="Times New Roman"/>
          <w:b/>
          <w:bCs/>
          <w:sz w:val="28"/>
          <w:szCs w:val="28"/>
        </w:rPr>
        <w:t>Есен</w:t>
      </w:r>
      <w:r w:rsidR="000D3513">
        <w:rPr>
          <w:rFonts w:ascii="Times New Roman" w:hAnsi="Times New Roman" w:cs="Times New Roman"/>
          <w:b/>
          <w:bCs/>
          <w:sz w:val="28"/>
          <w:szCs w:val="28"/>
        </w:rPr>
        <w:t>алина К.А.</w:t>
      </w:r>
    </w:p>
    <w:p w14:paraId="5B576B64" w14:textId="2C963E13" w:rsidR="000D3513" w:rsidRDefault="000D3513" w:rsidP="00A10878">
      <w:pPr>
        <w:spacing w:after="0"/>
        <w:jc w:val="center"/>
        <w:rPr>
          <w:rFonts w:ascii="Times New Roman" w:hAnsi="Times New Roman" w:cs="Times New Roman"/>
          <w:bCs/>
          <w:i/>
          <w:sz w:val="28"/>
          <w:szCs w:val="28"/>
        </w:rPr>
      </w:pPr>
      <w:r w:rsidRPr="000D3513">
        <w:rPr>
          <w:rFonts w:ascii="Times New Roman" w:hAnsi="Times New Roman" w:cs="Times New Roman"/>
          <w:bCs/>
          <w:i/>
          <w:sz w:val="28"/>
          <w:szCs w:val="28"/>
        </w:rPr>
        <w:t>Кенжеғали Сағадиев атындағы Халықаралық Бизнес Университетінің</w:t>
      </w:r>
      <w:r w:rsidR="007224EF">
        <w:rPr>
          <w:rFonts w:ascii="Times New Roman" w:hAnsi="Times New Roman" w:cs="Times New Roman"/>
          <w:bCs/>
          <w:i/>
          <w:sz w:val="28"/>
          <w:szCs w:val="28"/>
        </w:rPr>
        <w:t xml:space="preserve"> </w:t>
      </w:r>
      <w:r w:rsidRPr="000D3513">
        <w:rPr>
          <w:rFonts w:ascii="Times New Roman" w:hAnsi="Times New Roman" w:cs="Times New Roman"/>
          <w:bCs/>
          <w:i/>
          <w:sz w:val="28"/>
          <w:szCs w:val="28"/>
        </w:rPr>
        <w:t>ғылым</w:t>
      </w:r>
      <w:r>
        <w:rPr>
          <w:rFonts w:ascii="Times New Roman" w:hAnsi="Times New Roman" w:cs="Times New Roman"/>
          <w:bCs/>
          <w:i/>
          <w:sz w:val="28"/>
          <w:szCs w:val="28"/>
        </w:rPr>
        <w:t>и-педагогикалық бағыты бойынша 2</w:t>
      </w:r>
      <w:r w:rsidR="007224EF">
        <w:rPr>
          <w:rFonts w:ascii="Times New Roman" w:hAnsi="Times New Roman" w:cs="Times New Roman"/>
          <w:bCs/>
          <w:i/>
          <w:sz w:val="28"/>
          <w:szCs w:val="28"/>
        </w:rPr>
        <w:t xml:space="preserve">-курс магистранты, </w:t>
      </w:r>
      <w:r w:rsidRPr="000D3513">
        <w:rPr>
          <w:rFonts w:ascii="Times New Roman" w:hAnsi="Times New Roman" w:cs="Times New Roman"/>
          <w:bCs/>
          <w:i/>
          <w:sz w:val="28"/>
          <w:szCs w:val="28"/>
        </w:rPr>
        <w:t>«Есеп және аудит» білім беру бағдарламасы</w:t>
      </w:r>
    </w:p>
    <w:p w14:paraId="6AA54E02" w14:textId="7CF1BA08" w:rsidR="000D3513" w:rsidRDefault="007224EF" w:rsidP="00A10878">
      <w:pPr>
        <w:spacing w:after="0"/>
        <w:jc w:val="center"/>
        <w:rPr>
          <w:rFonts w:ascii="Times New Roman" w:hAnsi="Times New Roman" w:cs="Times New Roman"/>
          <w:b/>
          <w:bCs/>
          <w:sz w:val="28"/>
          <w:szCs w:val="28"/>
        </w:rPr>
      </w:pPr>
      <w:r w:rsidRPr="007224EF">
        <w:rPr>
          <w:rFonts w:ascii="Times New Roman" w:hAnsi="Times New Roman" w:cs="Times New Roman"/>
          <w:b/>
          <w:bCs/>
          <w:sz w:val="28"/>
          <w:szCs w:val="28"/>
        </w:rPr>
        <w:t>Мазбаева К.О.</w:t>
      </w:r>
    </w:p>
    <w:p w14:paraId="607AB7B2" w14:textId="613B1CAB" w:rsidR="007224EF" w:rsidRDefault="007224EF" w:rsidP="00A10878">
      <w:pPr>
        <w:spacing w:after="0"/>
        <w:jc w:val="center"/>
        <w:rPr>
          <w:rFonts w:ascii="Times New Roman" w:hAnsi="Times New Roman" w:cs="Times New Roman"/>
          <w:bCs/>
          <w:i/>
          <w:sz w:val="28"/>
          <w:szCs w:val="28"/>
        </w:rPr>
      </w:pPr>
      <w:r w:rsidRPr="007224EF">
        <w:rPr>
          <w:rFonts w:ascii="Times New Roman" w:hAnsi="Times New Roman" w:cs="Times New Roman"/>
          <w:bCs/>
          <w:i/>
          <w:sz w:val="28"/>
          <w:szCs w:val="28"/>
        </w:rPr>
        <w:t>Ғылыми жетекші: PhD, Кенжегали Сағадиев атындағы Халықаралық Бизнес Университетінің доценті</w:t>
      </w:r>
    </w:p>
    <w:p w14:paraId="33C7AECD" w14:textId="77777777" w:rsidR="007224EF" w:rsidRPr="007224EF" w:rsidRDefault="007224EF" w:rsidP="007224EF">
      <w:pPr>
        <w:spacing w:after="0"/>
        <w:rPr>
          <w:rFonts w:ascii="Times New Roman" w:hAnsi="Times New Roman" w:cs="Times New Roman"/>
          <w:bCs/>
          <w:i/>
          <w:sz w:val="28"/>
          <w:szCs w:val="28"/>
        </w:rPr>
      </w:pPr>
    </w:p>
    <w:p w14:paraId="692F17D3" w14:textId="3ADC5BC5" w:rsidR="000D3513" w:rsidRPr="000D3513" w:rsidRDefault="000D3513" w:rsidP="00A10878">
      <w:pPr>
        <w:spacing w:after="0"/>
        <w:jc w:val="center"/>
        <w:rPr>
          <w:rFonts w:ascii="Times New Roman" w:hAnsi="Times New Roman" w:cs="Times New Roman"/>
          <w:b/>
          <w:bCs/>
          <w:sz w:val="28"/>
          <w:szCs w:val="28"/>
          <w:lang w:val="en-US"/>
        </w:rPr>
      </w:pPr>
      <w:r w:rsidRPr="000D3513">
        <w:rPr>
          <w:rFonts w:ascii="Times New Roman" w:hAnsi="Times New Roman" w:cs="Times New Roman"/>
          <w:b/>
          <w:bCs/>
          <w:sz w:val="28"/>
          <w:szCs w:val="28"/>
          <w:lang w:val="en-US"/>
        </w:rPr>
        <w:t>Yessenalina K.A.</w:t>
      </w:r>
    </w:p>
    <w:p w14:paraId="5C29CA1F" w14:textId="052DC328" w:rsidR="000D3513" w:rsidRDefault="00690522" w:rsidP="00A10878">
      <w:pPr>
        <w:spacing w:after="0"/>
        <w:jc w:val="center"/>
        <w:rPr>
          <w:rFonts w:ascii="Times New Roman" w:hAnsi="Times New Roman" w:cs="Times New Roman"/>
          <w:bCs/>
          <w:i/>
          <w:sz w:val="28"/>
          <w:szCs w:val="28"/>
        </w:rPr>
      </w:pPr>
      <w:r>
        <w:rPr>
          <w:rFonts w:ascii="Times New Roman" w:hAnsi="Times New Roman" w:cs="Times New Roman"/>
          <w:bCs/>
          <w:i/>
          <w:sz w:val="28"/>
          <w:szCs w:val="28"/>
          <w:lang w:val="en-US"/>
        </w:rPr>
        <w:t>2nd</w:t>
      </w:r>
      <w:r w:rsidR="000D3513" w:rsidRPr="000D3513">
        <w:rPr>
          <w:rFonts w:ascii="Times New Roman" w:hAnsi="Times New Roman" w:cs="Times New Roman"/>
          <w:bCs/>
          <w:i/>
          <w:sz w:val="28"/>
          <w:szCs w:val="28"/>
        </w:rPr>
        <w:t>-year Master’s student in th</w:t>
      </w:r>
      <w:r w:rsidR="007224EF">
        <w:rPr>
          <w:rFonts w:ascii="Times New Roman" w:hAnsi="Times New Roman" w:cs="Times New Roman"/>
          <w:bCs/>
          <w:i/>
          <w:sz w:val="28"/>
          <w:szCs w:val="28"/>
        </w:rPr>
        <w:t xml:space="preserve">e Scientific-Pedagogical track, University of </w:t>
      </w:r>
      <w:r w:rsidR="000D3513" w:rsidRPr="000D3513">
        <w:rPr>
          <w:rFonts w:ascii="Times New Roman" w:hAnsi="Times New Roman" w:cs="Times New Roman"/>
          <w:bCs/>
          <w:i/>
          <w:sz w:val="28"/>
          <w:szCs w:val="28"/>
        </w:rPr>
        <w:t>International Business n</w:t>
      </w:r>
      <w:r w:rsidR="007224EF">
        <w:rPr>
          <w:rFonts w:ascii="Times New Roman" w:hAnsi="Times New Roman" w:cs="Times New Roman"/>
          <w:bCs/>
          <w:i/>
          <w:sz w:val="28"/>
          <w:szCs w:val="28"/>
        </w:rPr>
        <w:t xml:space="preserve">amed after Kenzhegali Sagadiev, </w:t>
      </w:r>
      <w:r w:rsidR="000D3513" w:rsidRPr="000D3513">
        <w:rPr>
          <w:rFonts w:ascii="Times New Roman" w:hAnsi="Times New Roman" w:cs="Times New Roman"/>
          <w:bCs/>
          <w:i/>
          <w:sz w:val="28"/>
          <w:szCs w:val="28"/>
        </w:rPr>
        <w:t>Educational Program “Accounting and Auditing”</w:t>
      </w:r>
    </w:p>
    <w:p w14:paraId="11FC0C14" w14:textId="6CF7759D" w:rsidR="007224EF" w:rsidRDefault="007224EF" w:rsidP="00A10878">
      <w:pPr>
        <w:spacing w:after="0"/>
        <w:jc w:val="center"/>
        <w:rPr>
          <w:rFonts w:ascii="Times New Roman" w:hAnsi="Times New Roman" w:cs="Times New Roman"/>
          <w:b/>
          <w:bCs/>
          <w:sz w:val="28"/>
          <w:szCs w:val="28"/>
        </w:rPr>
      </w:pPr>
      <w:r w:rsidRPr="007224EF">
        <w:rPr>
          <w:rFonts w:ascii="Times New Roman" w:hAnsi="Times New Roman" w:cs="Times New Roman"/>
          <w:b/>
          <w:bCs/>
          <w:sz w:val="28"/>
          <w:szCs w:val="28"/>
        </w:rPr>
        <w:t>Mazbayeva K.O.</w:t>
      </w:r>
    </w:p>
    <w:p w14:paraId="6C6808E9" w14:textId="5B1646E2" w:rsidR="007224EF" w:rsidRPr="007224EF" w:rsidRDefault="007224EF" w:rsidP="00A10878">
      <w:pPr>
        <w:spacing w:after="0"/>
        <w:jc w:val="center"/>
        <w:rPr>
          <w:rFonts w:ascii="Times New Roman" w:hAnsi="Times New Roman" w:cs="Times New Roman"/>
          <w:bCs/>
          <w:i/>
          <w:sz w:val="28"/>
          <w:szCs w:val="28"/>
        </w:rPr>
      </w:pPr>
      <w:r w:rsidRPr="007224EF">
        <w:rPr>
          <w:rFonts w:ascii="Times New Roman" w:hAnsi="Times New Roman" w:cs="Times New Roman"/>
          <w:bCs/>
          <w:i/>
          <w:sz w:val="28"/>
          <w:szCs w:val="28"/>
        </w:rPr>
        <w:t>Scientific Advisor: PhD, Associate Professor of the University of International Business named after Kenzhegali Sagadiev</w:t>
      </w:r>
    </w:p>
    <w:p w14:paraId="0C9445ED" w14:textId="77777777" w:rsidR="000D3513" w:rsidRPr="000D3513" w:rsidRDefault="000D3513" w:rsidP="000D3513">
      <w:pPr>
        <w:spacing w:after="0"/>
        <w:rPr>
          <w:rFonts w:ascii="Times New Roman" w:hAnsi="Times New Roman" w:cs="Times New Roman"/>
          <w:bCs/>
          <w:i/>
          <w:sz w:val="28"/>
          <w:szCs w:val="28"/>
        </w:rPr>
      </w:pPr>
    </w:p>
    <w:p w14:paraId="4C70F98E" w14:textId="3500AE3B" w:rsidR="00080FC5" w:rsidRPr="00A10878" w:rsidRDefault="00080FC5" w:rsidP="00CD684E">
      <w:pPr>
        <w:spacing w:after="0"/>
        <w:jc w:val="center"/>
        <w:rPr>
          <w:rFonts w:ascii="Times New Roman" w:hAnsi="Times New Roman" w:cs="Times New Roman"/>
          <w:b/>
          <w:bCs/>
          <w:sz w:val="28"/>
          <w:szCs w:val="28"/>
        </w:rPr>
      </w:pPr>
      <w:r w:rsidRPr="00A10878">
        <w:rPr>
          <w:rFonts w:ascii="Times New Roman" w:hAnsi="Times New Roman" w:cs="Times New Roman"/>
          <w:b/>
          <w:bCs/>
          <w:sz w:val="28"/>
          <w:szCs w:val="28"/>
        </w:rPr>
        <w:t>С</w:t>
      </w:r>
      <w:r w:rsidR="00A10878" w:rsidRPr="00A10878">
        <w:rPr>
          <w:rFonts w:ascii="Times New Roman" w:hAnsi="Times New Roman" w:cs="Times New Roman"/>
          <w:b/>
          <w:bCs/>
          <w:sz w:val="28"/>
          <w:szCs w:val="28"/>
        </w:rPr>
        <w:t>тратегиялық басқарушылық есеп бизнестегі тәуекелдерді ерте анықтау жүйесінің элементі ретінде</w:t>
      </w:r>
    </w:p>
    <w:p w14:paraId="7A146BAA" w14:textId="7628EC5D" w:rsidR="006054A4" w:rsidRPr="00A10878" w:rsidRDefault="00A10878" w:rsidP="00CD684E">
      <w:pPr>
        <w:spacing w:after="0"/>
        <w:jc w:val="center"/>
        <w:rPr>
          <w:rFonts w:ascii="Times New Roman" w:hAnsi="Times New Roman" w:cs="Times New Roman"/>
          <w:b/>
          <w:bCs/>
          <w:sz w:val="28"/>
          <w:szCs w:val="28"/>
        </w:rPr>
      </w:pPr>
      <w:r w:rsidRPr="00A10878">
        <w:rPr>
          <w:rFonts w:ascii="Times New Roman" w:hAnsi="Times New Roman" w:cs="Times New Roman"/>
          <w:b/>
          <w:bCs/>
          <w:sz w:val="28"/>
          <w:szCs w:val="28"/>
        </w:rPr>
        <w:t>*</w:t>
      </w:r>
    </w:p>
    <w:p w14:paraId="4079B779" w14:textId="47CC51B8" w:rsidR="006054A4" w:rsidRPr="00A10878" w:rsidRDefault="006054A4" w:rsidP="00CD684E">
      <w:pPr>
        <w:spacing w:after="0"/>
        <w:jc w:val="center"/>
        <w:rPr>
          <w:rFonts w:ascii="Times New Roman" w:hAnsi="Times New Roman" w:cs="Times New Roman"/>
          <w:b/>
          <w:bCs/>
          <w:sz w:val="28"/>
          <w:szCs w:val="28"/>
        </w:rPr>
      </w:pPr>
      <w:r w:rsidRPr="00A10878">
        <w:rPr>
          <w:rFonts w:ascii="Times New Roman" w:hAnsi="Times New Roman" w:cs="Times New Roman"/>
          <w:b/>
          <w:bCs/>
          <w:sz w:val="28"/>
          <w:szCs w:val="28"/>
        </w:rPr>
        <w:t>S</w:t>
      </w:r>
      <w:r w:rsidR="00A10878" w:rsidRPr="00A10878">
        <w:rPr>
          <w:rFonts w:ascii="Times New Roman" w:hAnsi="Times New Roman" w:cs="Times New Roman"/>
          <w:b/>
          <w:bCs/>
          <w:sz w:val="28"/>
          <w:szCs w:val="28"/>
        </w:rPr>
        <w:t>trategic managerial accounting as an element of the early risk detection system in business</w:t>
      </w:r>
    </w:p>
    <w:p w14:paraId="1B145DE1" w14:textId="77777777" w:rsidR="00CD684E" w:rsidRPr="006054A4" w:rsidRDefault="00CD684E" w:rsidP="00CD684E">
      <w:pPr>
        <w:spacing w:after="0"/>
        <w:rPr>
          <w:rFonts w:ascii="Times New Roman" w:hAnsi="Times New Roman" w:cs="Times New Roman"/>
          <w:sz w:val="28"/>
          <w:szCs w:val="28"/>
        </w:rPr>
      </w:pPr>
    </w:p>
    <w:p w14:paraId="1CDF0890" w14:textId="77777777" w:rsidR="00A10878" w:rsidRPr="00A10878" w:rsidRDefault="00A10878" w:rsidP="00B11793">
      <w:pPr>
        <w:spacing w:after="0" w:line="240" w:lineRule="auto"/>
        <w:ind w:firstLine="709"/>
        <w:jc w:val="both"/>
        <w:rPr>
          <w:rFonts w:ascii="Times New Roman" w:hAnsi="Times New Roman" w:cs="Times New Roman"/>
          <w:b/>
          <w:bCs/>
          <w:iCs/>
          <w:sz w:val="24"/>
          <w:szCs w:val="24"/>
        </w:rPr>
      </w:pPr>
      <w:r w:rsidRPr="00A10878">
        <w:rPr>
          <w:rFonts w:ascii="Times New Roman" w:hAnsi="Times New Roman" w:cs="Times New Roman"/>
          <w:b/>
          <w:bCs/>
          <w:iCs/>
          <w:sz w:val="24"/>
          <w:szCs w:val="24"/>
        </w:rPr>
        <w:t>Аңдатпа</w:t>
      </w:r>
    </w:p>
    <w:p w14:paraId="4AB7B2EB" w14:textId="406C7C08" w:rsidR="00113CC1" w:rsidRPr="00A10878" w:rsidRDefault="00BE4D83" w:rsidP="00B11793">
      <w:pPr>
        <w:spacing w:after="0" w:line="240" w:lineRule="auto"/>
        <w:ind w:firstLine="709"/>
        <w:jc w:val="both"/>
        <w:rPr>
          <w:rFonts w:ascii="Times New Roman" w:hAnsi="Times New Roman" w:cs="Times New Roman"/>
          <w:b/>
          <w:bCs/>
          <w:i/>
          <w:sz w:val="24"/>
          <w:szCs w:val="24"/>
        </w:rPr>
      </w:pPr>
      <w:r w:rsidRPr="00A10878">
        <w:rPr>
          <w:rFonts w:ascii="Times New Roman" w:hAnsi="Times New Roman" w:cs="Times New Roman"/>
          <w:i/>
          <w:sz w:val="24"/>
          <w:szCs w:val="24"/>
        </w:rPr>
        <w:t>Қазіргі өзгермелі бизнес ортада тәуекелдерді алдын ала болжау мен басқару маңызды міндетке айналуда. Осы тұрғыда стратегиялық басқарушылық есеп қаржылық деректерді стратегиялық болжаммен үйлестіре отырып, ықтимал қауіптерді ерте анықтауға мүмкіндік береді. Зерттеу барысында ғылыми жарияланымдарға библиографиялық талдау жасалып, Scopus дерекқоры негізінде VOSviewer бағдарламасы қолданылды. Нәтижесінде стратегиялық басқарушылық есептің тәуекелдерді ерте анықтау жүйесіндегі орны мен маңыздылығы айқындалды.</w:t>
      </w:r>
      <w:r w:rsidR="00D15F52" w:rsidRPr="00A10878">
        <w:rPr>
          <w:rFonts w:ascii="Times New Roman" w:hAnsi="Times New Roman" w:cs="Times New Roman"/>
          <w:i/>
          <w:sz w:val="24"/>
          <w:szCs w:val="24"/>
        </w:rPr>
        <w:t xml:space="preserve"> </w:t>
      </w:r>
      <w:r w:rsidR="00113CC1" w:rsidRPr="00A10878">
        <w:rPr>
          <w:rFonts w:ascii="Times New Roman" w:hAnsi="Times New Roman" w:cs="Times New Roman"/>
          <w:b/>
          <w:bCs/>
          <w:i/>
          <w:sz w:val="24"/>
          <w:szCs w:val="24"/>
        </w:rPr>
        <w:t xml:space="preserve"> </w:t>
      </w:r>
    </w:p>
    <w:p w14:paraId="39023E1F" w14:textId="7FB28427" w:rsidR="00EA5A1D" w:rsidRPr="00A10878" w:rsidRDefault="00EA5A1D" w:rsidP="00B11793">
      <w:pPr>
        <w:spacing w:after="0" w:line="240" w:lineRule="auto"/>
        <w:ind w:firstLine="709"/>
        <w:jc w:val="both"/>
        <w:rPr>
          <w:rFonts w:ascii="Times New Roman" w:hAnsi="Times New Roman" w:cs="Times New Roman"/>
          <w:i/>
          <w:sz w:val="24"/>
          <w:szCs w:val="24"/>
        </w:rPr>
      </w:pPr>
      <w:r w:rsidRPr="00A10878">
        <w:rPr>
          <w:rFonts w:ascii="Times New Roman" w:hAnsi="Times New Roman" w:cs="Times New Roman"/>
          <w:b/>
          <w:bCs/>
          <w:iCs/>
          <w:sz w:val="24"/>
          <w:szCs w:val="24"/>
        </w:rPr>
        <w:t>Түйін сөздер:</w:t>
      </w:r>
      <w:r w:rsidRPr="00A10878">
        <w:rPr>
          <w:rFonts w:ascii="Times New Roman" w:hAnsi="Times New Roman" w:cs="Times New Roman"/>
          <w:sz w:val="24"/>
          <w:szCs w:val="24"/>
        </w:rPr>
        <w:t xml:space="preserve"> </w:t>
      </w:r>
      <w:r w:rsidRPr="00A10878">
        <w:rPr>
          <w:rFonts w:ascii="Times New Roman" w:hAnsi="Times New Roman" w:cs="Times New Roman"/>
          <w:i/>
          <w:sz w:val="24"/>
          <w:szCs w:val="24"/>
        </w:rPr>
        <w:t>стратегиялық басқарушылық есеп, бизнес тәуекелдері, тәуекелдерді басқару, болжау</w:t>
      </w:r>
    </w:p>
    <w:p w14:paraId="366EDDD5" w14:textId="77777777" w:rsidR="00A10878" w:rsidRDefault="00A10878" w:rsidP="00A10878">
      <w:pPr>
        <w:spacing w:after="0" w:line="240" w:lineRule="auto"/>
        <w:ind w:firstLine="709"/>
        <w:jc w:val="both"/>
        <w:rPr>
          <w:rFonts w:ascii="Times New Roman" w:hAnsi="Times New Roman" w:cs="Times New Roman"/>
          <w:b/>
          <w:bCs/>
          <w:iCs/>
          <w:sz w:val="24"/>
          <w:szCs w:val="24"/>
        </w:rPr>
      </w:pPr>
    </w:p>
    <w:p w14:paraId="2B5E10A5" w14:textId="1545EBAC" w:rsidR="00A10878" w:rsidRPr="00A10878" w:rsidRDefault="00A10878" w:rsidP="00A10878">
      <w:pPr>
        <w:spacing w:after="0" w:line="240" w:lineRule="auto"/>
        <w:ind w:firstLine="709"/>
        <w:jc w:val="both"/>
        <w:rPr>
          <w:rFonts w:ascii="Times New Roman" w:hAnsi="Times New Roman" w:cs="Times New Roman"/>
          <w:b/>
          <w:bCs/>
          <w:iCs/>
          <w:sz w:val="24"/>
          <w:szCs w:val="24"/>
        </w:rPr>
      </w:pPr>
      <w:r w:rsidRPr="00A10878">
        <w:rPr>
          <w:rFonts w:ascii="Times New Roman" w:hAnsi="Times New Roman" w:cs="Times New Roman"/>
          <w:b/>
          <w:bCs/>
          <w:iCs/>
          <w:sz w:val="24"/>
          <w:szCs w:val="24"/>
        </w:rPr>
        <w:t>Annotation</w:t>
      </w:r>
    </w:p>
    <w:p w14:paraId="52B1480E" w14:textId="77777777" w:rsidR="00A10878" w:rsidRPr="00A10878" w:rsidRDefault="00A10878" w:rsidP="00A10878">
      <w:pPr>
        <w:spacing w:after="0" w:line="240" w:lineRule="auto"/>
        <w:ind w:firstLine="709"/>
        <w:jc w:val="both"/>
        <w:rPr>
          <w:rFonts w:ascii="Times New Roman" w:hAnsi="Times New Roman" w:cs="Times New Roman"/>
          <w:bCs/>
          <w:i/>
          <w:iCs/>
          <w:sz w:val="24"/>
          <w:szCs w:val="24"/>
        </w:rPr>
      </w:pPr>
      <w:r w:rsidRPr="00A10878">
        <w:rPr>
          <w:rFonts w:ascii="Times New Roman" w:hAnsi="Times New Roman" w:cs="Times New Roman"/>
          <w:bCs/>
          <w:i/>
          <w:iCs/>
          <w:sz w:val="24"/>
          <w:szCs w:val="24"/>
        </w:rPr>
        <w:t xml:space="preserve">In today's changing business environment, risk forecasting and management is becoming an important task. In this context, strategic management accounting combines financial data with Strategic Forecasting to allow early detection of potential threats. In the course of the study, a bibliographic analysis of scientific publications was carried out and the VOSviewer program was used based on the Scopus database. As a result, the place and importance of Strategic Management Accounting in the early risk identification system was determined.  </w:t>
      </w:r>
    </w:p>
    <w:p w14:paraId="5C5BA574" w14:textId="0AD7D653" w:rsidR="00A10878" w:rsidRPr="00A10878" w:rsidRDefault="00A10878" w:rsidP="00A10878">
      <w:pPr>
        <w:spacing w:after="0" w:line="240" w:lineRule="auto"/>
        <w:ind w:firstLine="709"/>
        <w:jc w:val="both"/>
        <w:rPr>
          <w:rFonts w:ascii="Times New Roman" w:hAnsi="Times New Roman" w:cs="Times New Roman"/>
          <w:bCs/>
          <w:i/>
          <w:iCs/>
          <w:sz w:val="24"/>
          <w:szCs w:val="24"/>
        </w:rPr>
      </w:pPr>
      <w:r w:rsidRPr="00A10878">
        <w:rPr>
          <w:rFonts w:ascii="Times New Roman" w:hAnsi="Times New Roman" w:cs="Times New Roman"/>
          <w:b/>
          <w:bCs/>
          <w:iCs/>
          <w:sz w:val="24"/>
          <w:szCs w:val="24"/>
        </w:rPr>
        <w:t>Key</w:t>
      </w:r>
      <w:r>
        <w:rPr>
          <w:rFonts w:ascii="Times New Roman" w:hAnsi="Times New Roman" w:cs="Times New Roman"/>
          <w:b/>
          <w:bCs/>
          <w:iCs/>
          <w:sz w:val="24"/>
          <w:szCs w:val="24"/>
        </w:rPr>
        <w:t xml:space="preserve"> </w:t>
      </w:r>
      <w:r w:rsidRPr="00A10878">
        <w:rPr>
          <w:rFonts w:ascii="Times New Roman" w:hAnsi="Times New Roman" w:cs="Times New Roman"/>
          <w:b/>
          <w:bCs/>
          <w:iCs/>
          <w:sz w:val="24"/>
          <w:szCs w:val="24"/>
        </w:rPr>
        <w:t>words:</w:t>
      </w:r>
      <w:r w:rsidRPr="00A10878">
        <w:rPr>
          <w:rFonts w:ascii="Times New Roman" w:hAnsi="Times New Roman" w:cs="Times New Roman"/>
          <w:b/>
          <w:bCs/>
          <w:i/>
          <w:iCs/>
          <w:sz w:val="24"/>
          <w:szCs w:val="24"/>
        </w:rPr>
        <w:t xml:space="preserve"> </w:t>
      </w:r>
      <w:bookmarkStart w:id="0" w:name="_GoBack"/>
      <w:r w:rsidRPr="00A10878">
        <w:rPr>
          <w:rFonts w:ascii="Times New Roman" w:hAnsi="Times New Roman" w:cs="Times New Roman"/>
          <w:bCs/>
          <w:i/>
          <w:iCs/>
          <w:sz w:val="24"/>
          <w:szCs w:val="24"/>
        </w:rPr>
        <w:t>strategic management accounting, business risks, risk management, forecasting</w:t>
      </w:r>
    </w:p>
    <w:bookmarkEnd w:id="0"/>
    <w:p w14:paraId="6324838E" w14:textId="77777777" w:rsidR="00A10878" w:rsidRPr="00A10878" w:rsidRDefault="00A10878" w:rsidP="00A10878">
      <w:pPr>
        <w:spacing w:after="0" w:line="240" w:lineRule="auto"/>
        <w:ind w:firstLine="709"/>
        <w:jc w:val="both"/>
        <w:rPr>
          <w:rFonts w:ascii="Times New Roman" w:hAnsi="Times New Roman" w:cs="Times New Roman"/>
          <w:b/>
          <w:bCs/>
          <w:i/>
          <w:iCs/>
          <w:sz w:val="24"/>
          <w:szCs w:val="24"/>
        </w:rPr>
      </w:pPr>
    </w:p>
    <w:p w14:paraId="2C5F9D4E" w14:textId="335844FE" w:rsidR="00B11793" w:rsidRPr="006054A4" w:rsidRDefault="00B11793" w:rsidP="00B11793">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b/>
          <w:bCs/>
          <w:i/>
          <w:iCs/>
          <w:sz w:val="28"/>
          <w:szCs w:val="28"/>
        </w:rPr>
        <w:lastRenderedPageBreak/>
        <w:t>Кіріспе.</w:t>
      </w:r>
      <w:r w:rsidRPr="006054A4">
        <w:rPr>
          <w:rFonts w:ascii="Times New Roman" w:hAnsi="Times New Roman" w:cs="Times New Roman"/>
          <w:sz w:val="28"/>
          <w:szCs w:val="28"/>
        </w:rPr>
        <w:t xml:space="preserve"> Кәсіпорын қызметін басқару проблемасы кез-келген шаруашылық секторында бар, сондықтан көптеген кәсіпорын мамандары үшін тәуекелдерді бағалау әдістемесін қалыптастыру, тәуекелдерді азайту және барынша төмендету бойынша практикалық ұсыныстарды әзірлеу бүгінгі таңдағы кәсіпорындардың өзекті мәселелері болып табылады. </w:t>
      </w:r>
    </w:p>
    <w:p w14:paraId="6B228CBB" w14:textId="59FC1B5C" w:rsidR="00B11793" w:rsidRPr="006054A4" w:rsidRDefault="00A514FF" w:rsidP="00B117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B11793" w:rsidRPr="006054A4">
        <w:rPr>
          <w:rFonts w:ascii="Times New Roman" w:hAnsi="Times New Roman" w:cs="Times New Roman"/>
          <w:sz w:val="28"/>
          <w:szCs w:val="28"/>
        </w:rPr>
        <w:t>асқарушылық есеп жүйесіндегі қаржы-шаруашылық қызметтің тәуекелдерін бағалау кәсіпорынды зерттеудің әдістері мен тәсілдерінің жиынтығы ретінде мүмкін және бар проблемаларды уақтылы анықтауға және жеке бөліп қарауға, оның қызметінің күшті және әлсіз жақтарын нақты бағалауға, кәсіпорынның қаржылық жағдайының тәуекел деңгейін анықтауға мүмкіндік береді, сондықтан бұл қаржылық басқару стратегиясын әзірлеу мен іске асырудың негізгі ұстанымы болып табылады.</w:t>
      </w:r>
    </w:p>
    <w:p w14:paraId="55BA5132" w14:textId="632833A6" w:rsidR="00EE1A99" w:rsidRPr="006054A4" w:rsidRDefault="00EE1A99" w:rsidP="00EE1A99">
      <w:pPr>
        <w:spacing w:after="0" w:line="240" w:lineRule="auto"/>
        <w:ind w:firstLine="709"/>
        <w:jc w:val="both"/>
        <w:rPr>
          <w:rFonts w:ascii="Times New Roman" w:hAnsi="Times New Roman" w:cs="Times New Roman"/>
          <w:sz w:val="28"/>
          <w:szCs w:val="28"/>
        </w:rPr>
      </w:pPr>
      <w:bookmarkStart w:id="1" w:name="_Hlk162435301"/>
      <w:r w:rsidRPr="006054A4">
        <w:rPr>
          <w:rFonts w:ascii="Times New Roman" w:hAnsi="Times New Roman" w:cs="Times New Roman"/>
          <w:sz w:val="28"/>
          <w:szCs w:val="28"/>
        </w:rPr>
        <w:t>Коммерциялық компанияның жаңа стратегиялық позициясын дұрыс таңдау белгісіздік жағдайында дұрыс шешім қабылдауға және тәуекелдерді тиімді басқаруға мүмкіндік береді, бұл қосымша мүмкіндіктерді қалыптастырады және пайданы ұлғайту арқылы компания құнының өсуіне әкеледі.</w:t>
      </w:r>
      <w:r w:rsidR="00D70634" w:rsidRPr="006054A4">
        <w:rPr>
          <w:rFonts w:ascii="Times New Roman" w:hAnsi="Times New Roman" w:cs="Times New Roman"/>
          <w:sz w:val="28"/>
          <w:szCs w:val="28"/>
        </w:rPr>
        <w:t xml:space="preserve"> Аталған мәселелердің барлығы дерлік стратегиялық басқарушылық есептің маңызды функциялары болғандықтан тәуекелдерді ерте анықтау мен алдын-алу мақсатында стратегиялық басқарушылық есептің рөлін айқындайды. </w:t>
      </w:r>
    </w:p>
    <w:bookmarkEnd w:id="1"/>
    <w:p w14:paraId="6E800F0F" w14:textId="77777777" w:rsidR="00EE1A99" w:rsidRPr="006054A4" w:rsidRDefault="00EE1A99" w:rsidP="00EE1A99">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b/>
          <w:bCs/>
          <w:i/>
          <w:iCs/>
          <w:sz w:val="28"/>
          <w:szCs w:val="28"/>
        </w:rPr>
        <w:t>Зерттеудің мақсаты мен міндеттері:</w:t>
      </w:r>
      <w:r w:rsidRPr="006054A4">
        <w:rPr>
          <w:rFonts w:ascii="Times New Roman" w:hAnsi="Times New Roman" w:cs="Times New Roman"/>
          <w:sz w:val="28"/>
          <w:szCs w:val="28"/>
        </w:rPr>
        <w:t xml:space="preserve"> Зерттеу мақсаты бизнестегі тәуекелдердің алдын алу жүйесінің бір элементі ретінде стратегиялық басқарушылық есепті пайдалану мүмкіндіктерін негіздеу болып табылады. Осы мақсатқа қол эеткізу үшін келесі міндеттер айқындалды:</w:t>
      </w:r>
    </w:p>
    <w:p w14:paraId="3A0C7344" w14:textId="1E35621F" w:rsidR="00EE1A99" w:rsidRPr="006054A4" w:rsidRDefault="00EE1A99" w:rsidP="005A1FCC">
      <w:pPr>
        <w:pStyle w:val="a7"/>
        <w:numPr>
          <w:ilvl w:val="0"/>
          <w:numId w:val="13"/>
        </w:numPr>
        <w:tabs>
          <w:tab w:val="left" w:pos="993"/>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Стратегиялық басқару</w:t>
      </w:r>
      <w:r w:rsidR="00D70634" w:rsidRPr="006054A4">
        <w:rPr>
          <w:rFonts w:ascii="Times New Roman" w:hAnsi="Times New Roman" w:cs="Times New Roman"/>
          <w:sz w:val="28"/>
          <w:szCs w:val="28"/>
        </w:rPr>
        <w:t xml:space="preserve">шылық есепке </w:t>
      </w:r>
      <w:r w:rsidRPr="006054A4">
        <w:rPr>
          <w:rFonts w:ascii="Times New Roman" w:hAnsi="Times New Roman" w:cs="Times New Roman"/>
          <w:sz w:val="28"/>
          <w:szCs w:val="28"/>
        </w:rPr>
        <w:t>түсініктеме беру;</w:t>
      </w:r>
    </w:p>
    <w:p w14:paraId="07907222" w14:textId="61AE596F" w:rsidR="00EE1A99" w:rsidRPr="006054A4" w:rsidRDefault="00EE1A99" w:rsidP="005A1FCC">
      <w:pPr>
        <w:pStyle w:val="a7"/>
        <w:numPr>
          <w:ilvl w:val="0"/>
          <w:numId w:val="13"/>
        </w:numPr>
        <w:tabs>
          <w:tab w:val="left" w:pos="993"/>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Стратегиялық басқару</w:t>
      </w:r>
      <w:r w:rsidR="00D70634" w:rsidRPr="006054A4">
        <w:rPr>
          <w:rFonts w:ascii="Times New Roman" w:hAnsi="Times New Roman" w:cs="Times New Roman"/>
          <w:sz w:val="28"/>
          <w:szCs w:val="28"/>
        </w:rPr>
        <w:t xml:space="preserve">шылық есептің </w:t>
      </w:r>
      <w:r w:rsidRPr="006054A4">
        <w:rPr>
          <w:rFonts w:ascii="Times New Roman" w:hAnsi="Times New Roman" w:cs="Times New Roman"/>
          <w:sz w:val="28"/>
          <w:szCs w:val="28"/>
        </w:rPr>
        <w:t>негізгі әдістеріне салыстарымалы сипаттама бере отырып, оларды тәуекелдің алдын алу мақсатында пайдалану мүмкіндігін бағалау;</w:t>
      </w:r>
    </w:p>
    <w:p w14:paraId="1CFA2214" w14:textId="3CD68750" w:rsidR="00EF036B" w:rsidRPr="006054A4" w:rsidRDefault="00EE1A99" w:rsidP="005A1FCC">
      <w:pPr>
        <w:pStyle w:val="a7"/>
        <w:numPr>
          <w:ilvl w:val="0"/>
          <w:numId w:val="13"/>
        </w:numPr>
        <w:tabs>
          <w:tab w:val="left" w:pos="993"/>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стратегиялық басқарушылық есептің артықшылықтарын ашып көрсете отырып, оны тәуекелдің алдын алу жүйесінің бір құралы ретіндегі орны мен атқаратын рөлін негіздеу.</w:t>
      </w:r>
    </w:p>
    <w:p w14:paraId="3A9D41F0" w14:textId="2E1B715E" w:rsidR="00BB69D3" w:rsidRPr="006054A4" w:rsidRDefault="005A1FCC" w:rsidP="00BB69D3">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b/>
          <w:bCs/>
          <w:i/>
          <w:iCs/>
          <w:sz w:val="28"/>
          <w:szCs w:val="28"/>
        </w:rPr>
        <w:t xml:space="preserve">Әдебиетке шолу. </w:t>
      </w:r>
      <w:r w:rsidRPr="006054A4">
        <w:rPr>
          <w:rFonts w:ascii="Times New Roman" w:hAnsi="Times New Roman" w:cs="Times New Roman"/>
          <w:sz w:val="28"/>
          <w:szCs w:val="28"/>
        </w:rPr>
        <w:t xml:space="preserve"> Қарастырылып отырған тақырып көптеген Отандық және</w:t>
      </w:r>
      <w:r w:rsidR="00BB69D3" w:rsidRPr="006054A4">
        <w:rPr>
          <w:rFonts w:ascii="Times New Roman" w:hAnsi="Times New Roman" w:cs="Times New Roman"/>
          <w:sz w:val="28"/>
          <w:szCs w:val="28"/>
        </w:rPr>
        <w:t xml:space="preserve"> </w:t>
      </w:r>
      <w:r w:rsidRPr="006054A4">
        <w:rPr>
          <w:rFonts w:ascii="Times New Roman" w:hAnsi="Times New Roman" w:cs="Times New Roman"/>
          <w:sz w:val="28"/>
          <w:szCs w:val="28"/>
        </w:rPr>
        <w:t>шетелдік авторлар тарапынан</w:t>
      </w:r>
      <w:r w:rsidR="00996803" w:rsidRPr="006054A4">
        <w:rPr>
          <w:rFonts w:ascii="Times New Roman" w:hAnsi="Times New Roman" w:cs="Times New Roman"/>
          <w:sz w:val="28"/>
          <w:szCs w:val="28"/>
        </w:rPr>
        <w:t xml:space="preserve"> зерттелгені анық. </w:t>
      </w:r>
      <w:r w:rsidR="00484B29" w:rsidRPr="006054A4">
        <w:rPr>
          <w:rFonts w:ascii="Times New Roman" w:hAnsi="Times New Roman" w:cs="Times New Roman"/>
          <w:sz w:val="28"/>
          <w:szCs w:val="28"/>
        </w:rPr>
        <w:t xml:space="preserve"> </w:t>
      </w:r>
    </w:p>
    <w:p w14:paraId="2BC69FEC" w14:textId="2A47A29E" w:rsidR="00996803" w:rsidRPr="006054A4" w:rsidRDefault="00996803"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Стратегиялық басқару есебінің пайда болуы болуы бухгалтерлік-экономикалық ой тарихындағы революция болды, бірақ оны анықтауға бірыңғай көзқарас қалыптаспаған, әсіресе тәуекелдерді басқару құралы ретіндегі рөлі ашылып көрсетілмеген.  </w:t>
      </w:r>
    </w:p>
    <w:p w14:paraId="3F16A631" w14:textId="21633A6F" w:rsidR="009D1DD9" w:rsidRPr="006054A4" w:rsidRDefault="00996803"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Алғаш рет 1982 жылы «Стратегиялық басқару есебі» (СБЕ) терминін Кеннет Симмондс ұсынды, ол оны бәсекеге қабілетті стратегияны әзірлеу және қадағалау кезінде қолданылатын бәсекелестердің жеке бизнесі мен бизнесін талдау әдісі ретінде қарастырды</w:t>
      </w:r>
      <w:r w:rsidR="00025B13" w:rsidRPr="006054A4">
        <w:rPr>
          <w:rFonts w:ascii="Times New Roman" w:hAnsi="Times New Roman"/>
          <w:sz w:val="28"/>
          <w:szCs w:val="28"/>
        </w:rPr>
        <w:t xml:space="preserve"> </w:t>
      </w:r>
      <w:r w:rsidR="009D1DD9" w:rsidRPr="006054A4">
        <w:rPr>
          <w:rStyle w:val="tlid-translation"/>
          <w:rFonts w:ascii="Times New Roman" w:hAnsi="Times New Roman"/>
          <w:sz w:val="28"/>
          <w:szCs w:val="28"/>
        </w:rPr>
        <w:sym w:font="Symbol" w:char="F05B"/>
      </w:r>
      <w:r w:rsidRPr="006054A4">
        <w:rPr>
          <w:rFonts w:ascii="Times New Roman" w:hAnsi="Times New Roman"/>
          <w:sz w:val="28"/>
          <w:szCs w:val="28"/>
        </w:rPr>
        <w:t>1</w:t>
      </w:r>
      <w:r w:rsidR="009D1DD9" w:rsidRPr="006054A4">
        <w:rPr>
          <w:rFonts w:ascii="Times New Roman" w:hAnsi="Times New Roman"/>
          <w:sz w:val="28"/>
          <w:szCs w:val="28"/>
        </w:rPr>
        <w:sym w:font="Symbol" w:char="F05D"/>
      </w:r>
      <w:r w:rsidR="00025B13" w:rsidRPr="006054A4">
        <w:rPr>
          <w:rFonts w:ascii="Times New Roman" w:hAnsi="Times New Roman"/>
          <w:sz w:val="28"/>
          <w:szCs w:val="28"/>
        </w:rPr>
        <w:t xml:space="preserve">. </w:t>
      </w:r>
    </w:p>
    <w:p w14:paraId="15C88DF7" w14:textId="28352B01"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А. Бромвич СБЕ компанияның өнім нарықтары, бәсекелестердің шығындары, шығындар құрылымдары туралы қаржылық ақпаратты талдау әдісі ретінде және бірнеше есепті кезеңдерде кәсіпорын стратегиялары мен </w:t>
      </w:r>
      <w:r w:rsidRPr="006054A4">
        <w:rPr>
          <w:rFonts w:ascii="Times New Roman" w:hAnsi="Times New Roman"/>
          <w:sz w:val="28"/>
          <w:szCs w:val="28"/>
        </w:rPr>
        <w:lastRenderedPageBreak/>
        <w:t>осы нарықтардағы бәсекелестердің стратегияларын қадағалау құралы деп анықтады</w:t>
      </w:r>
      <w:r w:rsidR="00A514FF">
        <w:rPr>
          <w:rFonts w:ascii="Times New Roman" w:hAnsi="Times New Roman"/>
          <w:sz w:val="28"/>
          <w:szCs w:val="28"/>
        </w:rPr>
        <w:t xml:space="preserve"> </w:t>
      </w:r>
      <w:r w:rsidRPr="006054A4">
        <w:rPr>
          <w:rFonts w:ascii="Times New Roman" w:hAnsi="Times New Roman"/>
          <w:sz w:val="28"/>
          <w:szCs w:val="28"/>
        </w:rPr>
        <w:t>[2].</w:t>
      </w:r>
    </w:p>
    <w:p w14:paraId="73001711" w14:textId="21037BBD"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Стратегиялық басқаруды есепке алу туралы келісімнің болмауына байланысты Б. Лорд (Lord B.R.) арнайы әдебиеттерге шолу жасады және стратегиялық басқарушылық есепті сипаттау үшін маңызды бірнеше негізгі элементтерді анықтады [3]:</w:t>
      </w:r>
      <w:r w:rsidR="00CA147D">
        <w:rPr>
          <w:rFonts w:ascii="Times New Roman" w:hAnsi="Times New Roman"/>
          <w:sz w:val="28"/>
          <w:szCs w:val="28"/>
        </w:rPr>
        <w:t xml:space="preserve"> </w:t>
      </w:r>
      <w:r w:rsidRPr="006054A4">
        <w:rPr>
          <w:rFonts w:ascii="Times New Roman" w:hAnsi="Times New Roman"/>
          <w:sz w:val="28"/>
          <w:szCs w:val="28"/>
        </w:rPr>
        <w:t>бәсекелестер туралы ақпарат жинау</w:t>
      </w:r>
      <w:r w:rsidR="00CA147D">
        <w:rPr>
          <w:rFonts w:ascii="Times New Roman" w:hAnsi="Times New Roman"/>
          <w:sz w:val="28"/>
          <w:szCs w:val="28"/>
        </w:rPr>
        <w:t xml:space="preserve">; </w:t>
      </w:r>
      <w:r w:rsidRPr="006054A4">
        <w:rPr>
          <w:rFonts w:ascii="Times New Roman" w:hAnsi="Times New Roman"/>
          <w:sz w:val="28"/>
          <w:szCs w:val="28"/>
        </w:rPr>
        <w:t>шығындарды азайту мүмкіндіктерін пайдалану</w:t>
      </w:r>
      <w:r w:rsidR="00CA147D">
        <w:rPr>
          <w:rFonts w:ascii="Times New Roman" w:hAnsi="Times New Roman"/>
          <w:sz w:val="28"/>
          <w:szCs w:val="28"/>
        </w:rPr>
        <w:t xml:space="preserve">; </w:t>
      </w:r>
      <w:r w:rsidRPr="006054A4">
        <w:rPr>
          <w:rFonts w:ascii="Times New Roman" w:hAnsi="Times New Roman"/>
          <w:sz w:val="28"/>
          <w:szCs w:val="28"/>
        </w:rPr>
        <w:t xml:space="preserve">бухгалтерлік есептегі екпінді стратегиялық жағдаймен салыстыру.  </w:t>
      </w:r>
    </w:p>
    <w:p w14:paraId="6581D565" w14:textId="1A9A2923"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К. Друри СБЕ келесі үш бағытын анықтады [4]: </w:t>
      </w:r>
    </w:p>
    <w:p w14:paraId="40E46506" w14:textId="77777777"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а) дәстүрлі басқару есебінің ішкі бағдарлануынан және бәсекелестер туралы ақпарат алудан тыс шығу; </w:t>
      </w:r>
    </w:p>
    <w:p w14:paraId="15046F26" w14:textId="77777777"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б) таңдалған компанияның стратегиялық позициясы мен басқарушылық есепті күтілетін қолдану арасындағы тәуелділікті анықтау (яғни стратегиялық позициялау тұрғысынан есеп беру); </w:t>
      </w:r>
    </w:p>
    <w:p w14:paraId="6628C1B8" w14:textId="7860E7C1"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в) құндылық тізбегіндегі байланыстарды пайдалану және шығындар факторларын оңтайландыру есебінен шығындарды қысқарту және (немесе) компания өнімінің саралау дәрежесін арттыру тәсілдерін талдау нәтижесінде бәсекелестік артықшылық алу. </w:t>
      </w:r>
    </w:p>
    <w:p w14:paraId="449CA388" w14:textId="142287A5"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Стратегиялық басқару есебі ең қолайлы бәсекелестік стратегияларды таңдауға және жүзеге асыруға, атап айтқанда бәсекелестер, тұтынушылар және жеке өнімдер туралы қаржылық ақпарат беру арқылы көмектесе алады [5]</w:t>
      </w:r>
      <w:r w:rsidR="00025B13" w:rsidRPr="006054A4">
        <w:rPr>
          <w:rFonts w:ascii="Times New Roman" w:hAnsi="Times New Roman"/>
          <w:sz w:val="28"/>
          <w:szCs w:val="28"/>
        </w:rPr>
        <w:t>.</w:t>
      </w:r>
    </w:p>
    <w:p w14:paraId="4018926C" w14:textId="0D28C159" w:rsidR="003A7D1D" w:rsidRPr="006054A4" w:rsidRDefault="003A7D1D" w:rsidP="003A7D1D">
      <w:pPr>
        <w:spacing w:after="0" w:line="240" w:lineRule="auto"/>
        <w:ind w:firstLine="709"/>
        <w:jc w:val="both"/>
        <w:rPr>
          <w:rFonts w:ascii="Times New Roman" w:hAnsi="Times New Roman" w:cs="Times New Roman"/>
          <w:sz w:val="28"/>
          <w:szCs w:val="28"/>
        </w:rPr>
      </w:pPr>
      <w:r w:rsidRPr="006054A4">
        <w:rPr>
          <w:rFonts w:ascii="Times New Roman" w:hAnsi="Times New Roman"/>
          <w:sz w:val="28"/>
          <w:szCs w:val="28"/>
        </w:rPr>
        <w:t xml:space="preserve">Ұлыбританиядағы дипломдалған талдаушы бухгалтерлер институты (Сima) стратегиялық басқару есебін басқарушылық есеп нысаны ретінде анықтайды, онда негізгі назар компания үшін сыртқы факторларға, сондай-ақ қаржылық емес ақпаратқа және компания ішінде пайда болатын ақпаратқа аударылады </w:t>
      </w:r>
      <w:r w:rsidRPr="006054A4">
        <w:rPr>
          <w:rFonts w:ascii="Times New Roman" w:hAnsi="Times New Roman" w:cs="Times New Roman"/>
          <w:sz w:val="28"/>
          <w:szCs w:val="28"/>
        </w:rPr>
        <w:t>[6]</w:t>
      </w:r>
      <w:r w:rsidR="00025B13" w:rsidRPr="006054A4">
        <w:rPr>
          <w:rFonts w:ascii="Times New Roman" w:hAnsi="Times New Roman" w:cs="Times New Roman"/>
          <w:sz w:val="28"/>
          <w:szCs w:val="28"/>
        </w:rPr>
        <w:t>.</w:t>
      </w:r>
    </w:p>
    <w:p w14:paraId="07D88E8F" w14:textId="39BBD8A9"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Стратегиялық бухгалтерлік есеп Бухгалтерлік есеп жүйесіне сәйкес келеді, біріншіден, ол ұйымды басқаруға арналған, ал екіншіден, өсу шығындары мен нәтижелеріне, маржалық кірістерге, қызмет сегменттері бойынша есепке алуға және т. б. бағытталған басқарудың бірыңғай әдістері мен әдістерін қолданады [7]</w:t>
      </w:r>
      <w:r w:rsidR="00025B13" w:rsidRPr="006054A4">
        <w:rPr>
          <w:rFonts w:ascii="Times New Roman" w:hAnsi="Times New Roman"/>
          <w:sz w:val="28"/>
          <w:szCs w:val="28"/>
        </w:rPr>
        <w:t>.</w:t>
      </w:r>
    </w:p>
    <w:p w14:paraId="19E1B9FA" w14:textId="4A49A67D"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Стратегиялық басқару есебі-бұл өндіріс шығындарын есепке алу және өнімнің өзіндік құнын есептеу ғана емес, сонымен қатар ұйымның және оның бөлімшелерінің қызметін бағалау, тәуекел мен белгісіздік жағдайында басқару шешімдерін қабылдау және негіздеу мәселелерін шешетін объектілер мен басқару субъектілері арасындағы қатынастардың күрделі жүйесі [8]</w:t>
      </w:r>
      <w:r w:rsidR="00025B13" w:rsidRPr="006054A4">
        <w:rPr>
          <w:rFonts w:ascii="Times New Roman" w:hAnsi="Times New Roman"/>
          <w:sz w:val="28"/>
          <w:szCs w:val="28"/>
        </w:rPr>
        <w:t>.</w:t>
      </w:r>
    </w:p>
    <w:p w14:paraId="03A85DE0" w14:textId="53488A66"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Стратегиялық басқару есебі стратегиялық менеджменттің стратегиялық маңызды шешімдер қабылдауы үшін ұйымның ішкі жағдайын және оның сыртқы ортасын бағалау және талдау үшін қажетті ақпаратты ұсынуға бағытталған басқарушылық есептің кешенді бағыты ретінде </w:t>
      </w:r>
      <w:r w:rsidR="00A514FF">
        <w:rPr>
          <w:rFonts w:ascii="Times New Roman" w:hAnsi="Times New Roman"/>
          <w:sz w:val="28"/>
          <w:szCs w:val="28"/>
        </w:rPr>
        <w:t xml:space="preserve">танылады </w:t>
      </w:r>
      <w:r w:rsidRPr="006054A4">
        <w:rPr>
          <w:rFonts w:ascii="Times New Roman" w:hAnsi="Times New Roman"/>
          <w:sz w:val="28"/>
          <w:szCs w:val="28"/>
        </w:rPr>
        <w:t>[9]</w:t>
      </w:r>
      <w:r w:rsidR="00025B13" w:rsidRPr="006054A4">
        <w:rPr>
          <w:rFonts w:ascii="Times New Roman" w:hAnsi="Times New Roman"/>
          <w:sz w:val="28"/>
          <w:szCs w:val="28"/>
        </w:rPr>
        <w:t>.</w:t>
      </w:r>
    </w:p>
    <w:p w14:paraId="731A58CE" w14:textId="4769A7EF" w:rsidR="003A7D1D" w:rsidRPr="006054A4" w:rsidRDefault="003A7D1D" w:rsidP="003A7D1D">
      <w:pPr>
        <w:spacing w:after="0" w:line="240" w:lineRule="auto"/>
        <w:ind w:firstLine="709"/>
        <w:jc w:val="both"/>
        <w:rPr>
          <w:rFonts w:ascii="Times New Roman" w:hAnsi="Times New Roman"/>
          <w:sz w:val="28"/>
          <w:szCs w:val="28"/>
        </w:rPr>
      </w:pPr>
      <w:r w:rsidRPr="006054A4">
        <w:rPr>
          <w:rFonts w:ascii="Times New Roman" w:hAnsi="Times New Roman"/>
          <w:sz w:val="28"/>
          <w:szCs w:val="28"/>
        </w:rPr>
        <w:t>Стратегиялық басқару есебі сыртқы ақпаратты талдаумен ұзақ мерзімді шешім қабылдауға бағытталған. Сонымен қатар, сыртқы бизнес ортасы. Компанияны басқару үшін бәсекеге қабілеттілікті қамтамасыз етуде компанияның даму стратегиясын қолдау үшін стратегиялық басқару есебі қажет [10]</w:t>
      </w:r>
      <w:r w:rsidR="00025B13" w:rsidRPr="006054A4">
        <w:rPr>
          <w:rFonts w:ascii="Times New Roman" w:hAnsi="Times New Roman"/>
          <w:sz w:val="28"/>
          <w:szCs w:val="28"/>
        </w:rPr>
        <w:t>.</w:t>
      </w:r>
    </w:p>
    <w:p w14:paraId="51FE877A" w14:textId="0F84D179" w:rsidR="0086368D" w:rsidRPr="006054A4" w:rsidRDefault="00A514FF" w:rsidP="003A7D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Келесі авторлар </w:t>
      </w:r>
      <w:r w:rsidR="0086368D" w:rsidRPr="006054A4">
        <w:rPr>
          <w:rFonts w:ascii="Times New Roman" w:hAnsi="Times New Roman" w:cs="Times New Roman"/>
          <w:sz w:val="28"/>
          <w:szCs w:val="28"/>
        </w:rPr>
        <w:t>«Стратегиялық басқарушылық есеп» компанияның миссиясын айқындаудың тұжырымдамалық негіздерін</w:t>
      </w:r>
      <w:r>
        <w:rPr>
          <w:rFonts w:ascii="Times New Roman" w:hAnsi="Times New Roman" w:cs="Times New Roman"/>
          <w:sz w:val="28"/>
          <w:szCs w:val="28"/>
        </w:rPr>
        <w:t xml:space="preserve"> құрайды, ол жедел, </w:t>
      </w:r>
      <w:r w:rsidR="0086368D" w:rsidRPr="006054A4">
        <w:rPr>
          <w:rFonts w:ascii="Times New Roman" w:hAnsi="Times New Roman" w:cs="Times New Roman"/>
          <w:sz w:val="28"/>
          <w:szCs w:val="28"/>
        </w:rPr>
        <w:t xml:space="preserve">нақты, стратегиялық, жоспарлы ақпаратты ұсынуды, стратегиялық шешімдерді уақтылы және дұрыс қабылдау үшін компания қызметінің әртүрлі объектілері бөлінісінде оның дұрыстығы мен толықтығын, нарықтық экономиканың логистикалық, инновациялық және стратегиялық менеджментке қойылатын талаптарын іске асыру мәселелерін </w:t>
      </w:r>
      <w:r>
        <w:rPr>
          <w:rFonts w:ascii="Times New Roman" w:hAnsi="Times New Roman" w:cs="Times New Roman"/>
          <w:sz w:val="28"/>
          <w:szCs w:val="28"/>
        </w:rPr>
        <w:t xml:space="preserve">қамтамасыз етеді деп көрсетеді </w:t>
      </w:r>
      <w:r w:rsidR="0086368D" w:rsidRPr="006054A4">
        <w:rPr>
          <w:rFonts w:ascii="Times New Roman" w:hAnsi="Times New Roman" w:cs="Times New Roman"/>
          <w:sz w:val="28"/>
          <w:szCs w:val="28"/>
        </w:rPr>
        <w:t>[11]</w:t>
      </w:r>
      <w:r w:rsidR="00025B13" w:rsidRPr="006054A4">
        <w:rPr>
          <w:rFonts w:ascii="Times New Roman" w:hAnsi="Times New Roman" w:cs="Times New Roman"/>
          <w:sz w:val="28"/>
          <w:szCs w:val="28"/>
        </w:rPr>
        <w:t>.</w:t>
      </w:r>
      <w:r w:rsidR="0086368D" w:rsidRPr="006054A4">
        <w:rPr>
          <w:rFonts w:ascii="Times New Roman" w:hAnsi="Times New Roman" w:cs="Times New Roman"/>
          <w:sz w:val="28"/>
          <w:szCs w:val="28"/>
        </w:rPr>
        <w:t xml:space="preserve"> </w:t>
      </w:r>
    </w:p>
    <w:p w14:paraId="7101EC67" w14:textId="376F77E2" w:rsidR="009847BC" w:rsidRPr="006054A4" w:rsidRDefault="009847BC" w:rsidP="009847BC">
      <w:pPr>
        <w:spacing w:after="0" w:line="240" w:lineRule="auto"/>
        <w:ind w:firstLine="709"/>
        <w:jc w:val="both"/>
        <w:rPr>
          <w:rFonts w:ascii="Times New Roman" w:hAnsi="Times New Roman"/>
          <w:sz w:val="28"/>
          <w:szCs w:val="28"/>
        </w:rPr>
      </w:pPr>
      <w:r w:rsidRPr="006054A4">
        <w:rPr>
          <w:rFonts w:ascii="Times New Roman" w:hAnsi="Times New Roman"/>
          <w:sz w:val="28"/>
          <w:szCs w:val="28"/>
        </w:rPr>
        <w:t>Коммерциялық ұйымдар өздерінің бәсекелестік артықшылықтарын сыртқы және ішкі ақпаратты пайдалану негізінде анықтай алады. Келесі авторлар</w:t>
      </w:r>
      <w:r w:rsidR="009E10FD" w:rsidRPr="006054A4">
        <w:rPr>
          <w:rFonts w:ascii="Times New Roman" w:hAnsi="Times New Roman"/>
          <w:sz w:val="28"/>
          <w:szCs w:val="28"/>
        </w:rPr>
        <w:t>дың</w:t>
      </w:r>
      <w:r w:rsidRPr="006054A4">
        <w:rPr>
          <w:rFonts w:ascii="Times New Roman" w:hAnsi="Times New Roman"/>
          <w:sz w:val="28"/>
          <w:szCs w:val="28"/>
        </w:rPr>
        <w:t xml:space="preserve"> мақаласында стратегиялық басқарушылық есептің теориялық негізіне зерттеу жүргізіл</w:t>
      </w:r>
      <w:r w:rsidR="009E10FD" w:rsidRPr="006054A4">
        <w:rPr>
          <w:rFonts w:ascii="Times New Roman" w:hAnsi="Times New Roman"/>
          <w:sz w:val="28"/>
          <w:szCs w:val="28"/>
        </w:rPr>
        <w:t xml:space="preserve">ген, </w:t>
      </w:r>
      <w:r w:rsidRPr="006054A4">
        <w:rPr>
          <w:rFonts w:ascii="Times New Roman" w:hAnsi="Times New Roman"/>
          <w:sz w:val="28"/>
          <w:szCs w:val="28"/>
        </w:rPr>
        <w:t>әртүрлі ғалымдардың пікірлеріне сараптама жаса</w:t>
      </w:r>
      <w:r w:rsidR="009E10FD" w:rsidRPr="006054A4">
        <w:rPr>
          <w:rFonts w:ascii="Times New Roman" w:hAnsi="Times New Roman"/>
          <w:sz w:val="28"/>
          <w:szCs w:val="28"/>
        </w:rPr>
        <w:t xml:space="preserve">у арқылы </w:t>
      </w:r>
      <w:r w:rsidRPr="006054A4">
        <w:rPr>
          <w:rFonts w:ascii="Times New Roman" w:hAnsi="Times New Roman"/>
          <w:sz w:val="28"/>
          <w:szCs w:val="28"/>
        </w:rPr>
        <w:t xml:space="preserve">басқарушылық есептің мәні ашылды. Кәсіпорынды басқару жүйесінде басқару есебінің орны </w:t>
      </w:r>
      <w:r w:rsidR="009E10FD" w:rsidRPr="006054A4">
        <w:rPr>
          <w:rFonts w:ascii="Times New Roman" w:hAnsi="Times New Roman"/>
          <w:sz w:val="28"/>
          <w:szCs w:val="28"/>
        </w:rPr>
        <w:t>нақтыланған</w:t>
      </w:r>
      <w:r w:rsidR="00CA147D">
        <w:rPr>
          <w:rFonts w:ascii="Times New Roman" w:hAnsi="Times New Roman"/>
          <w:sz w:val="28"/>
          <w:szCs w:val="28"/>
        </w:rPr>
        <w:t xml:space="preserve"> </w:t>
      </w:r>
      <w:r w:rsidR="009E10FD" w:rsidRPr="006054A4">
        <w:rPr>
          <w:rFonts w:ascii="Times New Roman" w:hAnsi="Times New Roman" w:cs="Times New Roman"/>
          <w:sz w:val="28"/>
          <w:szCs w:val="28"/>
        </w:rPr>
        <w:t>[1</w:t>
      </w:r>
      <w:r w:rsidR="00CA147D">
        <w:rPr>
          <w:rFonts w:ascii="Times New Roman" w:hAnsi="Times New Roman" w:cs="Times New Roman"/>
          <w:sz w:val="28"/>
          <w:szCs w:val="28"/>
        </w:rPr>
        <w:t>2</w:t>
      </w:r>
      <w:r w:rsidR="009E10FD" w:rsidRPr="006054A4">
        <w:rPr>
          <w:rFonts w:ascii="Times New Roman" w:hAnsi="Times New Roman" w:cs="Times New Roman"/>
          <w:sz w:val="28"/>
          <w:szCs w:val="28"/>
        </w:rPr>
        <w:t>]</w:t>
      </w:r>
      <w:r w:rsidR="009E10FD" w:rsidRPr="006054A4">
        <w:rPr>
          <w:rFonts w:ascii="Times New Roman" w:hAnsi="Times New Roman"/>
          <w:sz w:val="28"/>
          <w:szCs w:val="28"/>
        </w:rPr>
        <w:t xml:space="preserve">. </w:t>
      </w:r>
    </w:p>
    <w:p w14:paraId="6A034D7C" w14:textId="68393549" w:rsidR="0086368D" w:rsidRPr="006054A4" w:rsidRDefault="0086368D" w:rsidP="009847BC">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Scopus деректер базасына сүйене отырып, соңғы зерттеулерге шолу жасайтын болсақ, </w:t>
      </w:r>
      <w:r w:rsidR="00913F5D" w:rsidRPr="006054A4">
        <w:rPr>
          <w:rFonts w:ascii="Times New Roman" w:hAnsi="Times New Roman"/>
          <w:sz w:val="28"/>
          <w:szCs w:val="28"/>
        </w:rPr>
        <w:t xml:space="preserve">көп жағдайларда стратегиялық басқарушылық есепті тұрақты дамуды қалыптастыру, әсіресе экологиялық тұрақтылыққа әкелетін құрал тұрғысынан қарастырған. </w:t>
      </w:r>
    </w:p>
    <w:p w14:paraId="1DDDE796" w14:textId="6C3EB710" w:rsidR="00D15F52" w:rsidRPr="006054A4" w:rsidRDefault="00D15F52" w:rsidP="00D15F52">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Жаһандық экономикалық жағдайдың күрделілігіне байланысты кәсіпорындар қаржылық қиындықтардың өсіп келе жатқан қаупіне тап болады</w:t>
      </w:r>
      <w:r w:rsidR="00DB14E0">
        <w:rPr>
          <w:rFonts w:ascii="Times New Roman" w:hAnsi="Times New Roman" w:cs="Times New Roman"/>
          <w:sz w:val="28"/>
          <w:szCs w:val="28"/>
        </w:rPr>
        <w:t>, б</w:t>
      </w:r>
      <w:r w:rsidRPr="006054A4">
        <w:rPr>
          <w:rFonts w:ascii="Times New Roman" w:hAnsi="Times New Roman" w:cs="Times New Roman"/>
          <w:sz w:val="28"/>
          <w:szCs w:val="28"/>
        </w:rPr>
        <w:t>ұл мәселені шешу</w:t>
      </w:r>
      <w:r w:rsidR="00CA147D">
        <w:rPr>
          <w:rFonts w:ascii="Times New Roman" w:hAnsi="Times New Roman" w:cs="Times New Roman"/>
          <w:sz w:val="28"/>
          <w:szCs w:val="28"/>
        </w:rPr>
        <w:t>ге</w:t>
      </w:r>
      <w:r w:rsidRPr="006054A4">
        <w:rPr>
          <w:rFonts w:ascii="Times New Roman" w:hAnsi="Times New Roman" w:cs="Times New Roman"/>
          <w:sz w:val="28"/>
          <w:szCs w:val="28"/>
        </w:rPr>
        <w:t xml:space="preserve"> авторлар графиктері бар конволюциялық нейрондық желілерге және динамикалық уақытты реттеуге негізделген корпорацияның қаржылық мәселелерін болжау үлгісін ұсынды</w:t>
      </w:r>
      <w:r w:rsidR="00CA147D">
        <w:rPr>
          <w:rFonts w:ascii="Times New Roman" w:hAnsi="Times New Roman" w:cs="Times New Roman"/>
          <w:sz w:val="28"/>
          <w:szCs w:val="28"/>
        </w:rPr>
        <w:t xml:space="preserve"> [13</w:t>
      </w:r>
      <w:r w:rsidRPr="006054A4">
        <w:rPr>
          <w:rFonts w:ascii="Times New Roman" w:hAnsi="Times New Roman" w:cs="Times New Roman"/>
          <w:sz w:val="28"/>
          <w:szCs w:val="28"/>
        </w:rPr>
        <w:t>]</w:t>
      </w:r>
      <w:r w:rsidR="00025B13" w:rsidRPr="006054A4">
        <w:rPr>
          <w:rFonts w:ascii="Times New Roman" w:hAnsi="Times New Roman" w:cs="Times New Roman"/>
          <w:sz w:val="28"/>
          <w:szCs w:val="28"/>
        </w:rPr>
        <w:t>.</w:t>
      </w:r>
    </w:p>
    <w:p w14:paraId="650A398F" w14:textId="1F5E3604" w:rsidR="00D15F52" w:rsidRPr="006054A4" w:rsidRDefault="00D15F52" w:rsidP="00D15F52">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Үндістанның қаржылық қызметтеріндегі стратегиялық басқару есебі мен бәсекелестік артықшылықтар арасындағы байланысты зертте</w:t>
      </w:r>
      <w:r w:rsidR="00DB14E0">
        <w:rPr>
          <w:rFonts w:ascii="Times New Roman" w:hAnsi="Times New Roman" w:cs="Times New Roman"/>
          <w:sz w:val="28"/>
          <w:szCs w:val="28"/>
        </w:rPr>
        <w:t xml:space="preserve">й отырып, </w:t>
      </w:r>
      <w:r w:rsidRPr="006054A4">
        <w:rPr>
          <w:rFonts w:ascii="Times New Roman" w:hAnsi="Times New Roman" w:cs="Times New Roman"/>
          <w:sz w:val="28"/>
          <w:szCs w:val="28"/>
        </w:rPr>
        <w:t>Smartpls4 көмегімен деректерді жинаудың үш кезеңін қамтитын ыңғайлы үлгі арқылы Солтүстік Үндістандағы 270 қаржы секторының қызметкерлерінен жауап ал</w:t>
      </w:r>
      <w:r w:rsidR="00DB14E0">
        <w:rPr>
          <w:rFonts w:ascii="Times New Roman" w:hAnsi="Times New Roman" w:cs="Times New Roman"/>
          <w:sz w:val="28"/>
          <w:szCs w:val="28"/>
        </w:rPr>
        <w:t>ын</w:t>
      </w:r>
      <w:r w:rsidRPr="006054A4">
        <w:rPr>
          <w:rFonts w:ascii="Times New Roman" w:hAnsi="Times New Roman" w:cs="Times New Roman"/>
          <w:sz w:val="28"/>
          <w:szCs w:val="28"/>
        </w:rPr>
        <w:t>ды. Талданған деректер стратегиялық басқару есебі мен бәсекелестік артықшылықтар арасындағы тығыз байланысты көрсетті, өйткені зерттеулер киберқауіпсіздік пен цифрлық трансформация осыған байланысты аралық айнымалылар ретінде әрекет ететінін көрсетті [1</w:t>
      </w:r>
      <w:r w:rsidR="00CA147D">
        <w:rPr>
          <w:rFonts w:ascii="Times New Roman" w:hAnsi="Times New Roman" w:cs="Times New Roman"/>
          <w:sz w:val="28"/>
          <w:szCs w:val="28"/>
        </w:rPr>
        <w:t>4</w:t>
      </w:r>
      <w:r w:rsidRPr="006054A4">
        <w:rPr>
          <w:rFonts w:ascii="Times New Roman" w:hAnsi="Times New Roman" w:cs="Times New Roman"/>
          <w:sz w:val="28"/>
          <w:szCs w:val="28"/>
        </w:rPr>
        <w:t>]</w:t>
      </w:r>
      <w:r w:rsidR="00025B13" w:rsidRPr="006054A4">
        <w:rPr>
          <w:rFonts w:ascii="Times New Roman" w:hAnsi="Times New Roman" w:cs="Times New Roman"/>
          <w:sz w:val="28"/>
          <w:szCs w:val="28"/>
        </w:rPr>
        <w:t>.</w:t>
      </w:r>
    </w:p>
    <w:p w14:paraId="544F1B82" w14:textId="0FE4BCC2" w:rsidR="00D15F52" w:rsidRPr="006054A4" w:rsidRDefault="00D15F52" w:rsidP="00D15F52">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 xml:space="preserve">Авторлар өз зерттеулерінде тәуекелдерді басқарудағы түзетулер MENA аймағының жиырма елінің (Таяу Шығыс және Солтүстік Африка) болашақ қаржылық көрсеткіштеріне қалай әсер ететінін қарастырды. Панельдік векторлық авторегрессия (PVAR) моделін пайдалана отырып, тәуекелдерді азайту стратегиялары мен негізгі қаржылық нәтижелер арасындағы динамикалық байланысты сандық бағалау үшін 2005 және 2021 жылдар аралығындағы деректері </w:t>
      </w:r>
      <w:r w:rsidR="00DB14E0">
        <w:rPr>
          <w:rFonts w:ascii="Times New Roman" w:hAnsi="Times New Roman" w:cs="Times New Roman"/>
          <w:sz w:val="28"/>
          <w:szCs w:val="28"/>
        </w:rPr>
        <w:t xml:space="preserve">негізінде </w:t>
      </w:r>
      <w:r w:rsidRPr="006054A4">
        <w:rPr>
          <w:rFonts w:ascii="Times New Roman" w:hAnsi="Times New Roman" w:cs="Times New Roman"/>
          <w:sz w:val="28"/>
          <w:szCs w:val="28"/>
        </w:rPr>
        <w:t>тәуекелдерді басқарудың жақсы ойластырылған стратегиясы қаржылық дағдарыстардың алдын алу және елдердің ұзақ мерзімді экономикалық өсуі мен тұрақтылығын қолдау үшін өте маңызды екенін атап көрсетеді</w:t>
      </w:r>
      <w:r w:rsidR="00025B13" w:rsidRPr="006054A4">
        <w:rPr>
          <w:rFonts w:ascii="Times New Roman" w:hAnsi="Times New Roman" w:cs="Times New Roman"/>
          <w:sz w:val="28"/>
          <w:szCs w:val="28"/>
        </w:rPr>
        <w:t xml:space="preserve"> </w:t>
      </w:r>
      <w:r w:rsidRPr="006054A4">
        <w:rPr>
          <w:rFonts w:ascii="Times New Roman" w:hAnsi="Times New Roman" w:cs="Times New Roman"/>
          <w:sz w:val="28"/>
          <w:szCs w:val="28"/>
        </w:rPr>
        <w:t>[1</w:t>
      </w:r>
      <w:r w:rsidR="00CA147D">
        <w:rPr>
          <w:rFonts w:ascii="Times New Roman" w:hAnsi="Times New Roman" w:cs="Times New Roman"/>
          <w:sz w:val="28"/>
          <w:szCs w:val="28"/>
        </w:rPr>
        <w:t>5</w:t>
      </w:r>
      <w:r w:rsidRPr="006054A4">
        <w:rPr>
          <w:rFonts w:ascii="Times New Roman" w:hAnsi="Times New Roman" w:cs="Times New Roman"/>
          <w:sz w:val="28"/>
          <w:szCs w:val="28"/>
        </w:rPr>
        <w:t>]</w:t>
      </w:r>
      <w:r w:rsidR="00025B13" w:rsidRPr="006054A4">
        <w:rPr>
          <w:rFonts w:ascii="Times New Roman" w:hAnsi="Times New Roman" w:cs="Times New Roman"/>
          <w:sz w:val="28"/>
          <w:szCs w:val="28"/>
        </w:rPr>
        <w:t>.</w:t>
      </w:r>
    </w:p>
    <w:p w14:paraId="79DF2E07" w14:textId="3CEFED88" w:rsidR="00D15F52" w:rsidRPr="006054A4" w:rsidRDefault="00D15F52" w:rsidP="00D15F52">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 xml:space="preserve">Стратегиялық басқару есебінің Малайзияның құрылыс индустриясындағы экологиялық тұрақтылыққа әсерін зерттей отырып, авторлар Кайдзен-калькуляция, өмірлік цикл құнын есептеу (LCC) және қоршаған ортаны басқару есебі (EMA) сияқты стратегиялық басқару есебі </w:t>
      </w:r>
      <w:r w:rsidRPr="006054A4">
        <w:rPr>
          <w:rFonts w:ascii="Times New Roman" w:hAnsi="Times New Roman" w:cs="Times New Roman"/>
          <w:sz w:val="28"/>
          <w:szCs w:val="28"/>
        </w:rPr>
        <w:lastRenderedPageBreak/>
        <w:t>(SMA) әдістерінің Малайзияның құрылыс индустриясының экологиялық тұрақтылығына әсері</w:t>
      </w:r>
      <w:r w:rsidR="00DB14E0">
        <w:rPr>
          <w:rFonts w:ascii="Times New Roman" w:hAnsi="Times New Roman" w:cs="Times New Roman"/>
          <w:sz w:val="28"/>
          <w:szCs w:val="28"/>
        </w:rPr>
        <w:t>н</w:t>
      </w:r>
      <w:r w:rsidRPr="006054A4">
        <w:rPr>
          <w:rFonts w:ascii="Times New Roman" w:hAnsi="Times New Roman" w:cs="Times New Roman"/>
          <w:sz w:val="28"/>
          <w:szCs w:val="28"/>
        </w:rPr>
        <w:t xml:space="preserve"> бағалады. Құрылымдық теңдеулерді модельдеуге негізделген сандық тәсілді қолдана отырып, ең кіші квадраттар (PLS-SEM)кайдзен шығындарын да, LCC-ді де енгізу Малайзияның құрылыс индустриясында экологиялық тұрақтылықты қамтамасыз ету тәжірибесіне айтарлықтай әсер ететіндігін анықтады [1</w:t>
      </w:r>
      <w:r w:rsidR="00CA147D">
        <w:rPr>
          <w:rFonts w:ascii="Times New Roman" w:hAnsi="Times New Roman" w:cs="Times New Roman"/>
          <w:sz w:val="28"/>
          <w:szCs w:val="28"/>
        </w:rPr>
        <w:t>6</w:t>
      </w:r>
      <w:r w:rsidRPr="006054A4">
        <w:rPr>
          <w:rFonts w:ascii="Times New Roman" w:hAnsi="Times New Roman" w:cs="Times New Roman"/>
          <w:sz w:val="28"/>
          <w:szCs w:val="28"/>
        </w:rPr>
        <w:t>]</w:t>
      </w:r>
      <w:r w:rsidR="00025B13" w:rsidRPr="006054A4">
        <w:rPr>
          <w:rFonts w:ascii="Times New Roman" w:hAnsi="Times New Roman" w:cs="Times New Roman"/>
          <w:sz w:val="28"/>
          <w:szCs w:val="28"/>
        </w:rPr>
        <w:t>.</w:t>
      </w:r>
    </w:p>
    <w:p w14:paraId="4861C2C6" w14:textId="62BECCAC" w:rsidR="00D15F52" w:rsidRPr="006054A4" w:rsidRDefault="00D15F52" w:rsidP="00D15F52">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Келесі авторлар стратегиялық басқару есебінің (SMA) аспектілерінің ұйымның тиімділігіне әсерін зерттеді. Австралиялық ұйымдарда жұмыс істейтін 408 бухгалтердің сауалнамасына негізделген деректерді талдай отырып, құрылымдық теңдеулерді модельдеу қолданылды. SMA тәжірибелерін қолдану кейіннен ұйымның тиімділігіне оң әсер етті, ал SMA тәжірибелерін қолдану SMA аспектілерінің ұйымның тиімділігіне әсерін тигізді</w:t>
      </w:r>
      <w:r w:rsidR="00025B13" w:rsidRPr="006054A4">
        <w:rPr>
          <w:rFonts w:ascii="Times New Roman" w:hAnsi="Times New Roman" w:cs="Times New Roman"/>
          <w:sz w:val="28"/>
          <w:szCs w:val="28"/>
        </w:rPr>
        <w:t xml:space="preserve"> </w:t>
      </w:r>
      <w:r w:rsidRPr="006054A4">
        <w:rPr>
          <w:rFonts w:ascii="Times New Roman" w:hAnsi="Times New Roman" w:cs="Times New Roman"/>
          <w:sz w:val="28"/>
          <w:szCs w:val="28"/>
        </w:rPr>
        <w:t>[1</w:t>
      </w:r>
      <w:r w:rsidR="00CA147D">
        <w:rPr>
          <w:rFonts w:ascii="Times New Roman" w:hAnsi="Times New Roman" w:cs="Times New Roman"/>
          <w:sz w:val="28"/>
          <w:szCs w:val="28"/>
        </w:rPr>
        <w:t>7</w:t>
      </w:r>
      <w:r w:rsidRPr="006054A4">
        <w:rPr>
          <w:rFonts w:ascii="Times New Roman" w:hAnsi="Times New Roman" w:cs="Times New Roman"/>
          <w:sz w:val="28"/>
          <w:szCs w:val="28"/>
        </w:rPr>
        <w:t>]</w:t>
      </w:r>
      <w:r w:rsidR="00025B13" w:rsidRPr="006054A4">
        <w:rPr>
          <w:rFonts w:ascii="Times New Roman" w:hAnsi="Times New Roman" w:cs="Times New Roman"/>
          <w:sz w:val="28"/>
          <w:szCs w:val="28"/>
        </w:rPr>
        <w:t>.</w:t>
      </w:r>
    </w:p>
    <w:p w14:paraId="6979FC8B" w14:textId="46A773E1" w:rsidR="00D15F52" w:rsidRPr="006054A4" w:rsidRDefault="00D15F52" w:rsidP="00D15F52">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Зерттеушілер бизнес ортасының тәуекелдерін бағалау үшін корпоративтік тәуекелдерді басқару жүйесін пайдалануға болатынын растайды. Корпоративтік тәуекелдерді басқару жүйесінің (ERM) құрамдас бөліктері Бизнестің тәуекелдерін анықтауға көмектеседі, ол үшін әлеуметтік, технологиялық, экономикалық, экологиялық, саяси, құқықтық және этикалық талдау әдістері (STEEPLE) пайдаланылады.  Бұл бизнес-ортаның тәуекелдерін анықтап қана қоймай, сонымен қатар бизнес үшін жаңа мүмкіндіктерді нақтылауға мүмкіндік береді</w:t>
      </w:r>
      <w:r w:rsidR="00025B13" w:rsidRPr="006054A4">
        <w:rPr>
          <w:rFonts w:ascii="Times New Roman" w:hAnsi="Times New Roman" w:cs="Times New Roman"/>
          <w:sz w:val="28"/>
          <w:szCs w:val="28"/>
        </w:rPr>
        <w:t xml:space="preserve"> </w:t>
      </w:r>
      <w:r w:rsidRPr="006054A4">
        <w:rPr>
          <w:rFonts w:ascii="Times New Roman" w:hAnsi="Times New Roman" w:cs="Times New Roman"/>
          <w:sz w:val="28"/>
          <w:szCs w:val="28"/>
        </w:rPr>
        <w:t>[1</w:t>
      </w:r>
      <w:r w:rsidR="00CA147D">
        <w:rPr>
          <w:rFonts w:ascii="Times New Roman" w:hAnsi="Times New Roman" w:cs="Times New Roman"/>
          <w:sz w:val="28"/>
          <w:szCs w:val="28"/>
        </w:rPr>
        <w:t>8</w:t>
      </w:r>
      <w:r w:rsidRPr="006054A4">
        <w:rPr>
          <w:rFonts w:ascii="Times New Roman" w:hAnsi="Times New Roman" w:cs="Times New Roman"/>
          <w:sz w:val="28"/>
          <w:szCs w:val="28"/>
        </w:rPr>
        <w:t>]</w:t>
      </w:r>
      <w:r w:rsidR="00025B13" w:rsidRPr="006054A4">
        <w:rPr>
          <w:rFonts w:ascii="Times New Roman" w:hAnsi="Times New Roman" w:cs="Times New Roman"/>
          <w:sz w:val="28"/>
          <w:szCs w:val="28"/>
        </w:rPr>
        <w:t>.</w:t>
      </w:r>
    </w:p>
    <w:p w14:paraId="32EEA9BB" w14:textId="4DC41CE2" w:rsidR="00D15F52" w:rsidRPr="006054A4" w:rsidRDefault="00D15F52" w:rsidP="00D15F52">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Келесі автор сонымен қатар дамушы және дамыған нарықтарда ғана корпоративтік тәуекелдерді басқару жүйесін (ERM) енгізу мүмкіндіктерін қарастырды. Үндістан мен Ұлыбритания нарықтарында ERM енгізуге деген ұмтылыс мүдделі тараптардың үміттерін сақтау үшін стратегиялық шешімдер қабылдау процесін жақсартуды және корпоративтік басқару стандарттарын жақсартуды қамтыды. Ұлыбританияда ERM икемді реттеу жағдайында тосынсыйлар мен ауытқуларды азайту үшін енгізілді, бірақ қатаң енгізумен және несиелік ұпайларды арттыру үшін</w:t>
      </w:r>
      <w:r w:rsidR="00025B13" w:rsidRPr="006054A4">
        <w:rPr>
          <w:rFonts w:ascii="Times New Roman" w:hAnsi="Times New Roman" w:cs="Times New Roman"/>
          <w:sz w:val="28"/>
          <w:szCs w:val="28"/>
        </w:rPr>
        <w:t xml:space="preserve"> </w:t>
      </w:r>
      <w:r w:rsidRPr="006054A4">
        <w:rPr>
          <w:rFonts w:ascii="Times New Roman" w:hAnsi="Times New Roman" w:cs="Times New Roman"/>
          <w:sz w:val="28"/>
          <w:szCs w:val="28"/>
        </w:rPr>
        <w:t>[</w:t>
      </w:r>
      <w:r w:rsidR="00CA147D">
        <w:rPr>
          <w:rFonts w:ascii="Times New Roman" w:hAnsi="Times New Roman" w:cs="Times New Roman"/>
          <w:sz w:val="28"/>
          <w:szCs w:val="28"/>
        </w:rPr>
        <w:t>19</w:t>
      </w:r>
      <w:r w:rsidRPr="006054A4">
        <w:rPr>
          <w:rFonts w:ascii="Times New Roman" w:hAnsi="Times New Roman" w:cs="Times New Roman"/>
          <w:sz w:val="28"/>
          <w:szCs w:val="28"/>
        </w:rPr>
        <w:t>]</w:t>
      </w:r>
      <w:r w:rsidR="00025B13" w:rsidRPr="006054A4">
        <w:rPr>
          <w:rFonts w:ascii="Times New Roman" w:hAnsi="Times New Roman" w:cs="Times New Roman"/>
          <w:sz w:val="28"/>
          <w:szCs w:val="28"/>
        </w:rPr>
        <w:t>.</w:t>
      </w:r>
    </w:p>
    <w:p w14:paraId="7B9F4FDF" w14:textId="7F3E5454" w:rsidR="00B93459" w:rsidRPr="006054A4" w:rsidRDefault="005A1FCC" w:rsidP="00B93459">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b/>
          <w:bCs/>
          <w:i/>
          <w:iCs/>
          <w:sz w:val="28"/>
          <w:szCs w:val="28"/>
        </w:rPr>
        <w:t xml:space="preserve">Зерттеу әдістемесі. </w:t>
      </w:r>
      <w:r w:rsidR="00D15F52" w:rsidRPr="006054A4">
        <w:rPr>
          <w:rFonts w:ascii="Times New Roman" w:hAnsi="Times New Roman" w:cs="Times New Roman"/>
          <w:sz w:val="28"/>
          <w:szCs w:val="28"/>
        </w:rPr>
        <w:t xml:space="preserve">Зерттеу барысында қарапайым таным теориясының әдістерінен бастап, ғылыми-ізденушілік мақсатқа қол жеткізуге мүмкіндік беретін әдіс-тәсілдер жиынтығы пайдаланылды. </w:t>
      </w:r>
      <w:r w:rsidR="00544D30" w:rsidRPr="006054A4">
        <w:rPr>
          <w:rFonts w:ascii="Times New Roman" w:hAnsi="Times New Roman" w:cs="Times New Roman"/>
          <w:sz w:val="28"/>
          <w:szCs w:val="28"/>
        </w:rPr>
        <w:t>Стратегиялық басқарушылық есептің мәні мен орнын ашып көрсету мақсатында талдау әдісі қолданылды. Сонымен қатар, с</w:t>
      </w:r>
      <w:r w:rsidR="00D15F52" w:rsidRPr="006054A4">
        <w:rPr>
          <w:rFonts w:ascii="Times New Roman" w:hAnsi="Times New Roman" w:cs="Times New Roman"/>
          <w:sz w:val="28"/>
          <w:szCs w:val="28"/>
        </w:rPr>
        <w:t xml:space="preserve">тратегиялық басқарушылық есептің мәні мен орнын ашып көрсету мақсатында авторлардың жарияланымдары негізінде библиографиялық талдау жасауға мүмкіндік беретін </w:t>
      </w:r>
      <w:r w:rsidR="000C161C" w:rsidRPr="006054A4">
        <w:rPr>
          <w:rFonts w:ascii="Times New Roman" w:hAnsi="Times New Roman" w:cs="Times New Roman"/>
          <w:sz w:val="28"/>
          <w:szCs w:val="28"/>
        </w:rPr>
        <w:t>VOS</w:t>
      </w:r>
      <w:r w:rsidR="00B315CC" w:rsidRPr="006054A4">
        <w:rPr>
          <w:rFonts w:ascii="Times New Roman" w:hAnsi="Times New Roman" w:cs="Times New Roman"/>
          <w:sz w:val="28"/>
          <w:szCs w:val="28"/>
        </w:rPr>
        <w:t>viewer бағдарламасы</w:t>
      </w:r>
      <w:r w:rsidR="00D15F52" w:rsidRPr="006054A4">
        <w:rPr>
          <w:rFonts w:ascii="Times New Roman" w:hAnsi="Times New Roman" w:cs="Times New Roman"/>
          <w:sz w:val="28"/>
          <w:szCs w:val="28"/>
        </w:rPr>
        <w:t xml:space="preserve"> қолданылды. </w:t>
      </w:r>
      <w:r w:rsidR="00AB5E74" w:rsidRPr="006054A4">
        <w:rPr>
          <w:rFonts w:ascii="Times New Roman" w:hAnsi="Times New Roman" w:cs="Times New Roman"/>
          <w:sz w:val="28"/>
          <w:szCs w:val="28"/>
        </w:rPr>
        <w:t xml:space="preserve">VOSviewer – </w:t>
      </w:r>
      <w:r w:rsidR="00C26977" w:rsidRPr="006054A4">
        <w:rPr>
          <w:rFonts w:ascii="Times New Roman" w:hAnsi="Times New Roman" w:cs="Times New Roman"/>
          <w:sz w:val="28"/>
          <w:szCs w:val="28"/>
        </w:rPr>
        <w:t>библиометриялық желілерді құруға және визуализациялауға арналған бағдарлама. Бұл библиометриялық ақпаратты кластерлеуге және желілік талдауға мүмкіндік береді.</w:t>
      </w:r>
    </w:p>
    <w:p w14:paraId="65FFA8DF" w14:textId="77777777" w:rsidR="00DB14E0" w:rsidRPr="006054A4" w:rsidRDefault="00DB14E0" w:rsidP="00DB14E0">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Бұл мақалада VOSviewer бағдарламасын қолдана отырып, деректерді талдаудың негізгі әдісі ретінде «co-occurrence» әдісі таңдалды, ол кілт сөздерді бір жұмыста қаншалықты жиі кездесетіндігіне қарай кластерлейді.</w:t>
      </w:r>
    </w:p>
    <w:p w14:paraId="416A2A1E" w14:textId="77777777" w:rsidR="00DD28FA" w:rsidRPr="006054A4" w:rsidRDefault="005A1FCC" w:rsidP="005A1FCC">
      <w:pPr>
        <w:spacing w:after="0" w:line="240" w:lineRule="auto"/>
        <w:ind w:left="709"/>
        <w:jc w:val="both"/>
        <w:rPr>
          <w:rFonts w:ascii="Times New Roman" w:hAnsi="Times New Roman" w:cs="Times New Roman"/>
          <w:sz w:val="28"/>
          <w:szCs w:val="28"/>
        </w:rPr>
      </w:pPr>
      <w:r w:rsidRPr="006054A4">
        <w:rPr>
          <w:rFonts w:ascii="Times New Roman" w:hAnsi="Times New Roman" w:cs="Times New Roman"/>
          <w:b/>
          <w:bCs/>
          <w:i/>
          <w:iCs/>
          <w:sz w:val="28"/>
          <w:szCs w:val="28"/>
        </w:rPr>
        <w:t xml:space="preserve">Алынған нәтижелер және оларды талқылау. </w:t>
      </w:r>
    </w:p>
    <w:p w14:paraId="1DEA8769" w14:textId="77777777" w:rsidR="004E510A" w:rsidRPr="006054A4" w:rsidRDefault="000C161C" w:rsidP="000C161C">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Басқарушылық есепті едәуір толықтыра және байыта отырып, стратегиялық есеп оны сапалы жаңа кезеңге, дамудың жаңа, жоғары сатысына </w:t>
      </w:r>
      <w:r w:rsidRPr="006054A4">
        <w:rPr>
          <w:rFonts w:ascii="Times New Roman" w:hAnsi="Times New Roman"/>
          <w:sz w:val="28"/>
          <w:szCs w:val="28"/>
        </w:rPr>
        <w:lastRenderedPageBreak/>
        <w:t xml:space="preserve">шығарады. </w:t>
      </w:r>
      <w:r w:rsidR="00B315CC" w:rsidRPr="006054A4">
        <w:rPr>
          <w:rFonts w:ascii="Times New Roman" w:hAnsi="Times New Roman"/>
          <w:sz w:val="28"/>
          <w:szCs w:val="28"/>
        </w:rPr>
        <w:t xml:space="preserve">Холдингтік құрылымдардағы стратегиялық басқарушылық есептің негізгі тән белгілері стратегиялық бағыттылық, мақсатқа жетуге бағдарлану, барынша ақпараттандыру және компьютерлендіру болып табылады. Сонымен қатар, ол есепті желілік ұйымдастырудың мүмкіндіктері мен артықшылықтарын пайдалану, ақпаратты алу мен пайдаланудың көпварианттылығы, болжау, талдау, сондай-ақ желілік процестерді, құбылыстар мен сыртқы орта факторларын көрсету үшін заманауи есепке алу технологияларын қолданумен сипатталады. </w:t>
      </w:r>
    </w:p>
    <w:p w14:paraId="3478CA7F" w14:textId="72E1B48C" w:rsidR="000C161C" w:rsidRPr="006054A4" w:rsidRDefault="00A514FF" w:rsidP="000C161C">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С</w:t>
      </w:r>
      <w:r w:rsidR="000C161C" w:rsidRPr="006054A4">
        <w:rPr>
          <w:rFonts w:ascii="Times New Roman" w:hAnsi="Times New Roman"/>
          <w:sz w:val="28"/>
          <w:szCs w:val="28"/>
        </w:rPr>
        <w:t>тратегиялық басқару</w:t>
      </w:r>
      <w:r>
        <w:rPr>
          <w:rFonts w:ascii="Times New Roman" w:hAnsi="Times New Roman"/>
          <w:sz w:val="28"/>
          <w:szCs w:val="28"/>
        </w:rPr>
        <w:t>шылық есеп</w:t>
      </w:r>
      <w:r w:rsidR="000C161C" w:rsidRPr="006054A4">
        <w:rPr>
          <w:rFonts w:ascii="Times New Roman" w:hAnsi="Times New Roman"/>
          <w:sz w:val="28"/>
          <w:szCs w:val="28"/>
        </w:rPr>
        <w:t xml:space="preserve"> – бұл негізгі мақсаты ұйымның ұзақ мерзімді бәсекеге қабілеттілігін қалыптастыру мен сақтауда, шешім қабылдаушы тұлғаларды ұйым қызметі мен оның сыртқы ортасы жайында қаржылық және қаржылық емес есеп-талдамалық ақпараттармен қамтамасыз ететін жүйе</w:t>
      </w:r>
      <w:r w:rsidR="00CA147D">
        <w:rPr>
          <w:rFonts w:ascii="Times New Roman" w:hAnsi="Times New Roman"/>
          <w:sz w:val="28"/>
          <w:szCs w:val="28"/>
        </w:rPr>
        <w:t xml:space="preserve">. </w:t>
      </w:r>
      <w:r w:rsidR="00CA7645" w:rsidRPr="006054A4">
        <w:rPr>
          <w:rFonts w:ascii="Times New Roman" w:hAnsi="Times New Roman"/>
          <w:sz w:val="28"/>
          <w:szCs w:val="28"/>
        </w:rPr>
        <w:t xml:space="preserve"> </w:t>
      </w:r>
    </w:p>
    <w:p w14:paraId="3B7F9C10" w14:textId="22F8ACE8" w:rsidR="00DD28FA" w:rsidRPr="006054A4" w:rsidRDefault="00DD28FA" w:rsidP="000C161C">
      <w:pPr>
        <w:spacing w:after="0" w:line="240" w:lineRule="auto"/>
        <w:ind w:firstLine="709"/>
        <w:jc w:val="both"/>
        <w:rPr>
          <w:rFonts w:ascii="Times New Roman" w:hAnsi="Times New Roman"/>
          <w:sz w:val="28"/>
          <w:szCs w:val="28"/>
        </w:rPr>
      </w:pPr>
      <w:r w:rsidRPr="006054A4">
        <w:rPr>
          <w:rFonts w:ascii="Times New Roman" w:hAnsi="Times New Roman"/>
          <w:sz w:val="28"/>
          <w:szCs w:val="28"/>
        </w:rPr>
        <w:t>Scopus деректер базасы негізінде</w:t>
      </w:r>
      <w:r w:rsidR="00A87101" w:rsidRPr="006054A4">
        <w:rPr>
          <w:rFonts w:ascii="Times New Roman" w:hAnsi="Times New Roman"/>
          <w:sz w:val="28"/>
          <w:szCs w:val="28"/>
        </w:rPr>
        <w:t xml:space="preserve"> жарияланған құжаттар санына қатысты алынған зерттеулер келесі суретте келтірілді </w:t>
      </w:r>
      <w:r w:rsidRPr="006054A4">
        <w:rPr>
          <w:rFonts w:ascii="Times New Roman" w:hAnsi="Times New Roman"/>
          <w:sz w:val="28"/>
          <w:szCs w:val="28"/>
        </w:rPr>
        <w:t>(сурет 1)</w:t>
      </w:r>
      <w:r w:rsidR="00025B13" w:rsidRPr="006054A4">
        <w:rPr>
          <w:rFonts w:ascii="Times New Roman" w:hAnsi="Times New Roman"/>
          <w:sz w:val="28"/>
          <w:szCs w:val="28"/>
        </w:rPr>
        <w:t xml:space="preserve"> </w:t>
      </w:r>
      <w:r w:rsidR="00025B13" w:rsidRPr="006054A4">
        <w:rPr>
          <w:rFonts w:ascii="Times New Roman" w:hAnsi="Times New Roman" w:cs="Times New Roman"/>
          <w:sz w:val="28"/>
          <w:szCs w:val="28"/>
        </w:rPr>
        <w:t>[</w:t>
      </w:r>
      <w:r w:rsidR="009E10FD" w:rsidRPr="006054A4">
        <w:rPr>
          <w:rFonts w:ascii="Times New Roman" w:hAnsi="Times New Roman" w:cs="Times New Roman"/>
          <w:sz w:val="28"/>
          <w:szCs w:val="28"/>
        </w:rPr>
        <w:t>2</w:t>
      </w:r>
      <w:r w:rsidR="00CA147D">
        <w:rPr>
          <w:rFonts w:ascii="Times New Roman" w:hAnsi="Times New Roman" w:cs="Times New Roman"/>
          <w:sz w:val="28"/>
          <w:szCs w:val="28"/>
        </w:rPr>
        <w:t>0</w:t>
      </w:r>
      <w:r w:rsidR="00025B13" w:rsidRPr="006054A4">
        <w:rPr>
          <w:rFonts w:ascii="Times New Roman" w:hAnsi="Times New Roman" w:cs="Times New Roman"/>
          <w:sz w:val="28"/>
          <w:szCs w:val="28"/>
        </w:rPr>
        <w:t>]</w:t>
      </w:r>
      <w:r w:rsidRPr="006054A4">
        <w:rPr>
          <w:rFonts w:ascii="Times New Roman" w:hAnsi="Times New Roman"/>
          <w:sz w:val="28"/>
          <w:szCs w:val="28"/>
        </w:rPr>
        <w:t xml:space="preserve">. </w:t>
      </w:r>
    </w:p>
    <w:p w14:paraId="78D3D076" w14:textId="1DC69CC3" w:rsidR="00381D47" w:rsidRPr="006054A4" w:rsidRDefault="00DD28FA" w:rsidP="00FD5AE5">
      <w:pPr>
        <w:spacing w:after="0" w:line="240" w:lineRule="auto"/>
        <w:jc w:val="both"/>
        <w:rPr>
          <w:rFonts w:ascii="Times New Roman" w:hAnsi="Times New Roman" w:cs="Times New Roman"/>
          <w:sz w:val="28"/>
          <w:szCs w:val="28"/>
        </w:rPr>
      </w:pPr>
      <w:r w:rsidRPr="006054A4">
        <w:rPr>
          <w:rFonts w:ascii="Times New Roman" w:hAnsi="Times New Roman"/>
          <w:sz w:val="28"/>
          <w:szCs w:val="28"/>
        </w:rPr>
        <w:t xml:space="preserve"> </w:t>
      </w:r>
    </w:p>
    <w:p w14:paraId="29300E5B" w14:textId="2725DEA9" w:rsidR="00381D47" w:rsidRPr="006054A4" w:rsidRDefault="00A87101" w:rsidP="00FD5AE5">
      <w:pPr>
        <w:spacing w:after="0" w:line="240" w:lineRule="auto"/>
        <w:rPr>
          <w:rFonts w:ascii="Times New Roman" w:hAnsi="Times New Roman" w:cs="Times New Roman"/>
          <w:sz w:val="28"/>
          <w:szCs w:val="28"/>
        </w:rPr>
      </w:pPr>
      <w:r w:rsidRPr="006054A4">
        <w:rPr>
          <w:rFonts w:ascii="Times New Roman" w:hAnsi="Times New Roman" w:cs="Times New Roman"/>
          <w:noProof/>
          <w:sz w:val="28"/>
          <w:szCs w:val="28"/>
          <w:lang w:val="en-US"/>
        </w:rPr>
        <w:drawing>
          <wp:inline distT="0" distB="0" distL="0" distR="0" wp14:anchorId="72DBB94E" wp14:editId="7A08BFB2">
            <wp:extent cx="5928360" cy="2430780"/>
            <wp:effectExtent l="0" t="0" r="0" b="7620"/>
            <wp:docPr id="1019472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72426" name=""/>
                    <pic:cNvPicPr/>
                  </pic:nvPicPr>
                  <pic:blipFill rotWithShape="1">
                    <a:blip r:embed="rId5"/>
                    <a:srcRect l="1" t="-1673" r="-1347" b="1"/>
                    <a:stretch/>
                  </pic:blipFill>
                  <pic:spPr bwMode="auto">
                    <a:xfrm>
                      <a:off x="0" y="0"/>
                      <a:ext cx="5928360" cy="2430780"/>
                    </a:xfrm>
                    <a:prstGeom prst="rect">
                      <a:avLst/>
                    </a:prstGeom>
                    <a:ln>
                      <a:noFill/>
                    </a:ln>
                    <a:extLst>
                      <a:ext uri="{53640926-AAD7-44D8-BBD7-CCE9431645EC}">
                        <a14:shadowObscured xmlns:a14="http://schemas.microsoft.com/office/drawing/2010/main"/>
                      </a:ext>
                    </a:extLst>
                  </pic:spPr>
                </pic:pic>
              </a:graphicData>
            </a:graphic>
          </wp:inline>
        </w:drawing>
      </w:r>
    </w:p>
    <w:p w14:paraId="572999D7" w14:textId="22D86800" w:rsidR="00381D47" w:rsidRPr="00D13EB5" w:rsidRDefault="00DD28FA" w:rsidP="00FD5AE5">
      <w:pPr>
        <w:spacing w:after="0" w:line="240" w:lineRule="auto"/>
        <w:jc w:val="center"/>
        <w:rPr>
          <w:rFonts w:ascii="Times New Roman" w:hAnsi="Times New Roman"/>
          <w:sz w:val="24"/>
          <w:szCs w:val="28"/>
        </w:rPr>
      </w:pPr>
      <w:r w:rsidRPr="00D13EB5">
        <w:rPr>
          <w:rFonts w:ascii="Times New Roman" w:hAnsi="Times New Roman" w:cs="Times New Roman"/>
          <w:sz w:val="24"/>
          <w:szCs w:val="28"/>
        </w:rPr>
        <w:t xml:space="preserve">1-сурет. </w:t>
      </w:r>
      <w:r w:rsidRPr="00D13EB5">
        <w:rPr>
          <w:rFonts w:ascii="Times New Roman" w:hAnsi="Times New Roman"/>
          <w:sz w:val="24"/>
          <w:szCs w:val="28"/>
        </w:rPr>
        <w:t>Scopus деректер базасындағы құжаттардың жылдар бойынша жарияланым</w:t>
      </w:r>
      <w:r w:rsidR="00025B13" w:rsidRPr="00D13EB5">
        <w:rPr>
          <w:rFonts w:ascii="Times New Roman" w:hAnsi="Times New Roman"/>
          <w:sz w:val="24"/>
          <w:szCs w:val="28"/>
        </w:rPr>
        <w:t>дар</w:t>
      </w:r>
      <w:r w:rsidRPr="00D13EB5">
        <w:rPr>
          <w:rFonts w:ascii="Times New Roman" w:hAnsi="Times New Roman"/>
          <w:sz w:val="24"/>
          <w:szCs w:val="28"/>
        </w:rPr>
        <w:t xml:space="preserve"> деңгейі</w:t>
      </w:r>
    </w:p>
    <w:p w14:paraId="5CA46221" w14:textId="2DCC4F64" w:rsidR="001532DE" w:rsidRPr="00D13EB5" w:rsidRDefault="001532DE" w:rsidP="00FD5AE5">
      <w:pPr>
        <w:spacing w:after="0" w:line="240" w:lineRule="auto"/>
        <w:ind w:firstLine="709"/>
        <w:jc w:val="both"/>
        <w:rPr>
          <w:rFonts w:ascii="Times New Roman" w:hAnsi="Times New Roman"/>
          <w:sz w:val="24"/>
          <w:szCs w:val="28"/>
        </w:rPr>
      </w:pPr>
      <w:r w:rsidRPr="00D13EB5">
        <w:rPr>
          <w:rFonts w:ascii="Times New Roman" w:hAnsi="Times New Roman"/>
          <w:sz w:val="24"/>
          <w:szCs w:val="28"/>
        </w:rPr>
        <w:t xml:space="preserve">Ескерту - </w:t>
      </w:r>
      <w:r w:rsidRPr="00D13EB5">
        <w:rPr>
          <w:rFonts w:ascii="Times New Roman" w:hAnsi="Times New Roman" w:cs="Times New Roman"/>
          <w:sz w:val="24"/>
          <w:szCs w:val="28"/>
        </w:rPr>
        <w:t>[</w:t>
      </w:r>
      <w:r w:rsidR="00CA147D">
        <w:rPr>
          <w:rFonts w:ascii="Times New Roman" w:hAnsi="Times New Roman" w:cs="Times New Roman"/>
          <w:sz w:val="24"/>
          <w:szCs w:val="28"/>
        </w:rPr>
        <w:t>20</w:t>
      </w:r>
      <w:r w:rsidRPr="00D13EB5">
        <w:rPr>
          <w:rFonts w:ascii="Times New Roman" w:hAnsi="Times New Roman" w:cs="Times New Roman"/>
          <w:sz w:val="24"/>
          <w:szCs w:val="28"/>
        </w:rPr>
        <w:t>] дереккөзі негізінде автормен құрастырылған</w:t>
      </w:r>
    </w:p>
    <w:p w14:paraId="72362E22" w14:textId="77777777" w:rsidR="00A87101" w:rsidRPr="006054A4" w:rsidRDefault="00A87101" w:rsidP="00FD5AE5">
      <w:pPr>
        <w:spacing w:after="0" w:line="240" w:lineRule="auto"/>
        <w:ind w:firstLine="709"/>
        <w:jc w:val="both"/>
        <w:rPr>
          <w:rFonts w:ascii="Times New Roman" w:hAnsi="Times New Roman" w:cs="Times New Roman"/>
          <w:sz w:val="28"/>
          <w:szCs w:val="28"/>
        </w:rPr>
      </w:pPr>
    </w:p>
    <w:p w14:paraId="7AABB00C" w14:textId="1BFE5E76" w:rsidR="00DD28FA" w:rsidRPr="006054A4" w:rsidRDefault="00A87101" w:rsidP="00FD5AE5">
      <w:pPr>
        <w:spacing w:after="0" w:line="240" w:lineRule="auto"/>
        <w:ind w:firstLine="709"/>
        <w:jc w:val="both"/>
        <w:rPr>
          <w:rFonts w:ascii="Times New Roman" w:hAnsi="Times New Roman" w:cs="Times New Roman"/>
          <w:sz w:val="28"/>
          <w:szCs w:val="28"/>
        </w:rPr>
      </w:pPr>
      <w:r w:rsidRPr="006054A4">
        <w:rPr>
          <w:rFonts w:ascii="Times New Roman" w:hAnsi="Times New Roman"/>
          <w:sz w:val="28"/>
          <w:szCs w:val="28"/>
        </w:rPr>
        <w:t xml:space="preserve">1-суретте келтірілген ақпарат бойынша «Стратегиялық басқарушылық есеп» ұғымы 3928 құжатта кездескен, олардың 1909 құжаты «Бизнес, менеджмент, бухгалтерлік есеп» білімдер саласына қатысты. Осы құжаттардың алғаш рет 1971 жылы жарияланғанын, ал 2025 жылдың басынан бастап 320 құжатта стратегиялық басқарушылық есеп термині кездескені анықталды. </w:t>
      </w:r>
      <w:r w:rsidR="00DD28FA" w:rsidRPr="006054A4">
        <w:rPr>
          <w:rFonts w:ascii="Times New Roman" w:hAnsi="Times New Roman" w:cs="Times New Roman"/>
          <w:sz w:val="28"/>
          <w:szCs w:val="28"/>
        </w:rPr>
        <w:t xml:space="preserve">2024 жылы стратегиялық басқарушылық есеп ұғымы туралы құжаттарда ең көп жарияланым болған, барлық </w:t>
      </w:r>
      <w:r w:rsidRPr="006054A4">
        <w:rPr>
          <w:rFonts w:ascii="Times New Roman" w:hAnsi="Times New Roman" w:cs="Times New Roman"/>
          <w:sz w:val="28"/>
          <w:szCs w:val="28"/>
        </w:rPr>
        <w:t>3928</w:t>
      </w:r>
      <w:r w:rsidR="00DD28FA" w:rsidRPr="006054A4">
        <w:rPr>
          <w:rFonts w:ascii="Times New Roman" w:hAnsi="Times New Roman" w:cs="Times New Roman"/>
          <w:sz w:val="28"/>
          <w:szCs w:val="28"/>
        </w:rPr>
        <w:t xml:space="preserve"> құжаттың </w:t>
      </w:r>
      <w:r w:rsidRPr="006054A4">
        <w:rPr>
          <w:rFonts w:ascii="Times New Roman" w:hAnsi="Times New Roman" w:cs="Times New Roman"/>
          <w:sz w:val="28"/>
          <w:szCs w:val="28"/>
        </w:rPr>
        <w:t>399</w:t>
      </w:r>
      <w:r w:rsidR="00DD28FA" w:rsidRPr="006054A4">
        <w:rPr>
          <w:rFonts w:ascii="Times New Roman" w:hAnsi="Times New Roman" w:cs="Times New Roman"/>
          <w:sz w:val="28"/>
          <w:szCs w:val="28"/>
        </w:rPr>
        <w:t xml:space="preserve"> осы 2024 жылы жарияланған.</w:t>
      </w:r>
      <w:r w:rsidR="00025B13" w:rsidRPr="006054A4">
        <w:rPr>
          <w:rFonts w:ascii="Times New Roman" w:hAnsi="Times New Roman" w:cs="Times New Roman"/>
          <w:sz w:val="28"/>
          <w:szCs w:val="28"/>
        </w:rPr>
        <w:t xml:space="preserve"> </w:t>
      </w:r>
    </w:p>
    <w:p w14:paraId="6D366ED5" w14:textId="6C79CE02" w:rsidR="00025B13" w:rsidRPr="006054A4" w:rsidRDefault="00DD28FA" w:rsidP="00A87101">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Келесі кезекте білім саласы бойынша жарияланымдарда келтірілген</w:t>
      </w:r>
      <w:r w:rsidR="001532DE" w:rsidRPr="006054A4">
        <w:rPr>
          <w:rFonts w:ascii="Times New Roman" w:hAnsi="Times New Roman" w:cs="Times New Roman"/>
          <w:sz w:val="28"/>
          <w:szCs w:val="28"/>
        </w:rPr>
        <w:t xml:space="preserve"> «Стратегиялық басқарушылық есеп» терминінің қолданылуына қатысты талдау 2-суретте ұсынылды.</w:t>
      </w:r>
      <w:r w:rsidR="00025B13" w:rsidRPr="006054A4">
        <w:rPr>
          <w:rFonts w:ascii="Times New Roman" w:hAnsi="Times New Roman" w:cs="Times New Roman"/>
          <w:sz w:val="28"/>
          <w:szCs w:val="28"/>
        </w:rPr>
        <w:t xml:space="preserve"> </w:t>
      </w:r>
    </w:p>
    <w:p w14:paraId="1769B93D" w14:textId="77777777" w:rsidR="005E77F4" w:rsidRPr="006054A4" w:rsidRDefault="005E77F4" w:rsidP="005E77F4">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 xml:space="preserve">2-суретте «Стратегиялық басқарушылық есеп» ең алдымен бизнес, менеджмент және бухгалтерлік есеп саласындағы маңыздылығын ашып </w:t>
      </w:r>
      <w:r w:rsidRPr="006054A4">
        <w:rPr>
          <w:rFonts w:ascii="Times New Roman" w:hAnsi="Times New Roman" w:cs="Times New Roman"/>
          <w:sz w:val="28"/>
          <w:szCs w:val="28"/>
        </w:rPr>
        <w:lastRenderedPageBreak/>
        <w:t xml:space="preserve">көрсетеді, себебі бизнесті ұйымдастыруда, табысты бизнес жүргізуде менеджмент, яғни тімді басқару және дұрыс ұйымдастырылып жүргізілген бухгалтерлік есеп жүйесінің орнын айқындайды. </w:t>
      </w:r>
    </w:p>
    <w:p w14:paraId="4DF42297" w14:textId="77777777" w:rsidR="005E77F4" w:rsidRPr="006054A4" w:rsidRDefault="005E77F4" w:rsidP="005E77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6054A4">
        <w:rPr>
          <w:rFonts w:ascii="Times New Roman" w:hAnsi="Times New Roman" w:cs="Times New Roman"/>
          <w:sz w:val="28"/>
          <w:szCs w:val="28"/>
        </w:rPr>
        <w:t xml:space="preserve">ілім салалары ішінде барлық жарияланымдардың 25,4% Бизнес, менеджмент, бухгалтерлік есепке қатысты, келесі басымдылық Инжиниринг саласына тиесілі, ол 12,2%, одан кейін Экономика мен Эконометрикаға тиесілі, 11,6%, келесі кезекте әртүрлі ғылымдар 9,7% және басқа да білім салалары келтірілген. </w:t>
      </w:r>
    </w:p>
    <w:p w14:paraId="7A71C407" w14:textId="72B8A6B5" w:rsidR="00381D47" w:rsidRPr="006054A4" w:rsidRDefault="00A87101" w:rsidP="00FD5AE5">
      <w:pPr>
        <w:spacing w:after="0" w:line="240" w:lineRule="auto"/>
        <w:rPr>
          <w:rFonts w:ascii="Times New Roman" w:hAnsi="Times New Roman" w:cs="Times New Roman"/>
          <w:sz w:val="28"/>
          <w:szCs w:val="28"/>
        </w:rPr>
      </w:pPr>
      <w:r w:rsidRPr="006054A4">
        <w:rPr>
          <w:rFonts w:ascii="Times New Roman" w:hAnsi="Times New Roman" w:cs="Times New Roman"/>
          <w:noProof/>
          <w:sz w:val="28"/>
          <w:szCs w:val="28"/>
          <w:lang w:val="en-US"/>
        </w:rPr>
        <w:drawing>
          <wp:inline distT="0" distB="0" distL="0" distR="0" wp14:anchorId="30E055FB" wp14:editId="736709B9">
            <wp:extent cx="5939790" cy="2987040"/>
            <wp:effectExtent l="0" t="0" r="3810" b="3810"/>
            <wp:docPr id="1011920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20375" name=""/>
                    <pic:cNvPicPr/>
                  </pic:nvPicPr>
                  <pic:blipFill>
                    <a:blip r:embed="rId6"/>
                    <a:stretch>
                      <a:fillRect/>
                    </a:stretch>
                  </pic:blipFill>
                  <pic:spPr>
                    <a:xfrm>
                      <a:off x="0" y="0"/>
                      <a:ext cx="5939790" cy="2987040"/>
                    </a:xfrm>
                    <a:prstGeom prst="rect">
                      <a:avLst/>
                    </a:prstGeom>
                  </pic:spPr>
                </pic:pic>
              </a:graphicData>
            </a:graphic>
          </wp:inline>
        </w:drawing>
      </w:r>
    </w:p>
    <w:p w14:paraId="00FD37D0" w14:textId="4AEC3BE3" w:rsidR="001532DE" w:rsidRPr="00D13EB5" w:rsidRDefault="001532DE" w:rsidP="00FD5AE5">
      <w:pPr>
        <w:spacing w:after="0" w:line="240" w:lineRule="auto"/>
        <w:jc w:val="center"/>
        <w:rPr>
          <w:rFonts w:ascii="Times New Roman" w:hAnsi="Times New Roman"/>
          <w:sz w:val="24"/>
          <w:szCs w:val="28"/>
        </w:rPr>
      </w:pPr>
      <w:r w:rsidRPr="00D13EB5">
        <w:rPr>
          <w:rFonts w:ascii="Times New Roman" w:hAnsi="Times New Roman" w:cs="Times New Roman"/>
          <w:sz w:val="24"/>
          <w:szCs w:val="28"/>
        </w:rPr>
        <w:t xml:space="preserve">2-сурет. </w:t>
      </w:r>
      <w:r w:rsidRPr="00D13EB5">
        <w:rPr>
          <w:rFonts w:ascii="Times New Roman" w:hAnsi="Times New Roman"/>
          <w:sz w:val="24"/>
          <w:szCs w:val="28"/>
        </w:rPr>
        <w:t>Scopus деректер базасындағы құжаттардың білім саласы бойынша жарияланым деңгейі</w:t>
      </w:r>
    </w:p>
    <w:p w14:paraId="0D52D014" w14:textId="4F1C118C" w:rsidR="001532DE" w:rsidRPr="00D13EB5" w:rsidRDefault="001532DE" w:rsidP="00FD5AE5">
      <w:pPr>
        <w:spacing w:after="0" w:line="240" w:lineRule="auto"/>
        <w:ind w:firstLine="709"/>
        <w:rPr>
          <w:rFonts w:ascii="Times New Roman" w:hAnsi="Times New Roman"/>
          <w:sz w:val="24"/>
          <w:szCs w:val="28"/>
        </w:rPr>
      </w:pPr>
      <w:r w:rsidRPr="00D13EB5">
        <w:rPr>
          <w:rFonts w:ascii="Times New Roman" w:hAnsi="Times New Roman"/>
          <w:sz w:val="24"/>
          <w:szCs w:val="28"/>
        </w:rPr>
        <w:t xml:space="preserve">Ескерту - </w:t>
      </w:r>
      <w:r w:rsidRPr="00D13EB5">
        <w:rPr>
          <w:rFonts w:ascii="Times New Roman" w:hAnsi="Times New Roman" w:cs="Times New Roman"/>
          <w:sz w:val="24"/>
          <w:szCs w:val="28"/>
        </w:rPr>
        <w:t>[</w:t>
      </w:r>
      <w:r w:rsidR="009E10FD" w:rsidRPr="00D13EB5">
        <w:rPr>
          <w:rFonts w:ascii="Times New Roman" w:hAnsi="Times New Roman" w:cs="Times New Roman"/>
          <w:sz w:val="24"/>
          <w:szCs w:val="28"/>
        </w:rPr>
        <w:t>2</w:t>
      </w:r>
      <w:r w:rsidR="00CA147D">
        <w:rPr>
          <w:rFonts w:ascii="Times New Roman" w:hAnsi="Times New Roman" w:cs="Times New Roman"/>
          <w:sz w:val="24"/>
          <w:szCs w:val="28"/>
        </w:rPr>
        <w:t>0</w:t>
      </w:r>
      <w:r w:rsidRPr="00D13EB5">
        <w:rPr>
          <w:rFonts w:ascii="Times New Roman" w:hAnsi="Times New Roman" w:cs="Times New Roman"/>
          <w:sz w:val="24"/>
          <w:szCs w:val="28"/>
        </w:rPr>
        <w:t>] дереккөзі негізінде автормен құрастырылған</w:t>
      </w:r>
    </w:p>
    <w:p w14:paraId="0D22310B" w14:textId="77777777" w:rsidR="005E77F4" w:rsidRDefault="005E77F4" w:rsidP="00025B13">
      <w:pPr>
        <w:spacing w:after="0" w:line="240" w:lineRule="auto"/>
        <w:ind w:firstLine="709"/>
        <w:jc w:val="both"/>
        <w:rPr>
          <w:rFonts w:ascii="Times New Roman" w:hAnsi="Times New Roman"/>
          <w:sz w:val="28"/>
          <w:szCs w:val="28"/>
        </w:rPr>
      </w:pPr>
    </w:p>
    <w:p w14:paraId="4D6DFB98" w14:textId="29DFE35D" w:rsidR="00381D47" w:rsidRDefault="00A87101" w:rsidP="00025B13">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VOSviewer-де деректерді талдаудың негізгі әдісі ретінде Co-occurrence әдісі қолданылады, ол кілт сөздерді бір жұмыста қаншалықты жиі кездесетініне қарай кластерлейді. Осылайша, кілт сөздер тақырыптық кластерлерді құрайды. </w:t>
      </w:r>
      <w:r w:rsidR="00FD5AE5" w:rsidRPr="006054A4">
        <w:rPr>
          <w:rFonts w:ascii="Times New Roman" w:hAnsi="Times New Roman"/>
          <w:sz w:val="28"/>
          <w:szCs w:val="28"/>
        </w:rPr>
        <w:t>«Стратегиялық басқарушылық есеп» ұғымының Scopus деректер базасындағы жария</w:t>
      </w:r>
      <w:r w:rsidR="00025B13" w:rsidRPr="006054A4">
        <w:rPr>
          <w:rFonts w:ascii="Times New Roman" w:hAnsi="Times New Roman"/>
          <w:sz w:val="28"/>
          <w:szCs w:val="28"/>
        </w:rPr>
        <w:t>л</w:t>
      </w:r>
      <w:r w:rsidR="00FD5AE5" w:rsidRPr="006054A4">
        <w:rPr>
          <w:rFonts w:ascii="Times New Roman" w:hAnsi="Times New Roman"/>
          <w:sz w:val="28"/>
          <w:szCs w:val="28"/>
        </w:rPr>
        <w:t xml:space="preserve">анған құжаттарда өзге ұғымдармен, терминдермен өзара байланысы стратегиялық басқарушылық есептің басқарушылық есеппен, менеджментпен </w:t>
      </w:r>
      <w:r w:rsidRPr="006054A4">
        <w:rPr>
          <w:rFonts w:ascii="Times New Roman" w:hAnsi="Times New Roman"/>
          <w:sz w:val="28"/>
          <w:szCs w:val="28"/>
        </w:rPr>
        <w:t xml:space="preserve">және өзге ғылым салаларымен </w:t>
      </w:r>
      <w:r w:rsidR="00FD5AE5" w:rsidRPr="006054A4">
        <w:rPr>
          <w:rFonts w:ascii="Times New Roman" w:hAnsi="Times New Roman"/>
          <w:sz w:val="28"/>
          <w:szCs w:val="28"/>
        </w:rPr>
        <w:t xml:space="preserve">тікелей байланысын </w:t>
      </w:r>
      <w:r w:rsidRPr="006054A4">
        <w:rPr>
          <w:rFonts w:ascii="Times New Roman" w:hAnsi="Times New Roman"/>
          <w:sz w:val="28"/>
          <w:szCs w:val="28"/>
        </w:rPr>
        <w:t xml:space="preserve">келесі суреттен </w:t>
      </w:r>
      <w:r w:rsidR="00FD5AE5" w:rsidRPr="006054A4">
        <w:rPr>
          <w:rFonts w:ascii="Times New Roman" w:hAnsi="Times New Roman"/>
          <w:sz w:val="28"/>
          <w:szCs w:val="28"/>
        </w:rPr>
        <w:t>көруге болады (сурет 3).</w:t>
      </w:r>
    </w:p>
    <w:p w14:paraId="3CC09E52" w14:textId="77777777" w:rsidR="00CA147D" w:rsidRPr="006054A4" w:rsidRDefault="00CA147D" w:rsidP="00025B13">
      <w:pPr>
        <w:spacing w:after="0" w:line="240" w:lineRule="auto"/>
        <w:ind w:firstLine="709"/>
        <w:jc w:val="both"/>
        <w:rPr>
          <w:rFonts w:ascii="Times New Roman" w:hAnsi="Times New Roman" w:cs="Times New Roman"/>
          <w:sz w:val="28"/>
          <w:szCs w:val="28"/>
        </w:rPr>
      </w:pPr>
    </w:p>
    <w:p w14:paraId="46DEA4F6" w14:textId="15E1E1E3" w:rsidR="006B5AA6" w:rsidRPr="006054A4" w:rsidRDefault="00DD67B0" w:rsidP="006B5AA6">
      <w:pPr>
        <w:spacing w:after="0" w:line="240" w:lineRule="auto"/>
        <w:rPr>
          <w:rFonts w:ascii="Times New Roman" w:hAnsi="Times New Roman" w:cs="Times New Roman"/>
          <w:sz w:val="28"/>
          <w:szCs w:val="28"/>
        </w:rPr>
      </w:pPr>
      <w:r w:rsidRPr="006054A4">
        <w:rPr>
          <w:noProof/>
          <w:sz w:val="28"/>
          <w:szCs w:val="28"/>
          <w:lang w:val="en-US"/>
        </w:rPr>
        <w:lastRenderedPageBreak/>
        <w:drawing>
          <wp:inline distT="0" distB="0" distL="0" distR="0" wp14:anchorId="15A37E89" wp14:editId="6FD9B392">
            <wp:extent cx="5920740" cy="3063240"/>
            <wp:effectExtent l="0" t="0" r="3810" b="3810"/>
            <wp:docPr id="74708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0740" cy="3063240"/>
                    </a:xfrm>
                    <a:prstGeom prst="rect">
                      <a:avLst/>
                    </a:prstGeom>
                    <a:noFill/>
                    <a:ln>
                      <a:noFill/>
                    </a:ln>
                  </pic:spPr>
                </pic:pic>
              </a:graphicData>
            </a:graphic>
          </wp:inline>
        </w:drawing>
      </w:r>
    </w:p>
    <w:p w14:paraId="23D92418" w14:textId="7BB6F44B" w:rsidR="00FD5AE5" w:rsidRPr="00D13EB5" w:rsidRDefault="00FD5AE5" w:rsidP="00FD5AE5">
      <w:pPr>
        <w:spacing w:after="0" w:line="240" w:lineRule="auto"/>
        <w:jc w:val="center"/>
        <w:rPr>
          <w:rFonts w:ascii="Times New Roman" w:hAnsi="Times New Roman"/>
          <w:sz w:val="24"/>
          <w:szCs w:val="28"/>
        </w:rPr>
      </w:pPr>
      <w:r w:rsidRPr="00D13EB5">
        <w:rPr>
          <w:rFonts w:ascii="Times New Roman" w:hAnsi="Times New Roman" w:cs="Times New Roman"/>
          <w:sz w:val="24"/>
          <w:szCs w:val="28"/>
        </w:rPr>
        <w:t xml:space="preserve">3-сурет. </w:t>
      </w:r>
      <w:r w:rsidR="000C161C" w:rsidRPr="00D13EB5">
        <w:rPr>
          <w:rFonts w:ascii="Times New Roman" w:hAnsi="Times New Roman"/>
          <w:sz w:val="24"/>
          <w:szCs w:val="28"/>
        </w:rPr>
        <w:t>Стратегиялық басқарушылық есептің өзге ұғымдармен байланысы</w:t>
      </w:r>
    </w:p>
    <w:p w14:paraId="5C4A66A3" w14:textId="01F890C3" w:rsidR="00FD5AE5" w:rsidRPr="00D13EB5" w:rsidRDefault="00FD5AE5" w:rsidP="000C161C">
      <w:pPr>
        <w:spacing w:after="0" w:line="240" w:lineRule="auto"/>
        <w:ind w:firstLine="709"/>
        <w:jc w:val="both"/>
        <w:rPr>
          <w:rFonts w:ascii="Times New Roman" w:hAnsi="Times New Roman"/>
          <w:sz w:val="24"/>
          <w:szCs w:val="28"/>
        </w:rPr>
      </w:pPr>
      <w:r w:rsidRPr="00D13EB5">
        <w:rPr>
          <w:rFonts w:ascii="Times New Roman" w:hAnsi="Times New Roman"/>
          <w:sz w:val="24"/>
          <w:szCs w:val="28"/>
        </w:rPr>
        <w:t xml:space="preserve">Ескерту - </w:t>
      </w:r>
      <w:r w:rsidRPr="00D13EB5">
        <w:rPr>
          <w:rFonts w:ascii="Times New Roman" w:hAnsi="Times New Roman" w:cs="Times New Roman"/>
          <w:sz w:val="24"/>
          <w:szCs w:val="28"/>
        </w:rPr>
        <w:t>[</w:t>
      </w:r>
      <w:r w:rsidR="009E10FD" w:rsidRPr="00D13EB5">
        <w:rPr>
          <w:rFonts w:ascii="Times New Roman" w:hAnsi="Times New Roman" w:cs="Times New Roman"/>
          <w:sz w:val="24"/>
          <w:szCs w:val="28"/>
        </w:rPr>
        <w:t>2</w:t>
      </w:r>
      <w:r w:rsidR="00CA147D">
        <w:rPr>
          <w:rFonts w:ascii="Times New Roman" w:hAnsi="Times New Roman" w:cs="Times New Roman"/>
          <w:sz w:val="24"/>
          <w:szCs w:val="28"/>
        </w:rPr>
        <w:t>0</w:t>
      </w:r>
      <w:r w:rsidRPr="00D13EB5">
        <w:rPr>
          <w:rFonts w:ascii="Times New Roman" w:hAnsi="Times New Roman" w:cs="Times New Roman"/>
          <w:sz w:val="24"/>
          <w:szCs w:val="28"/>
        </w:rPr>
        <w:t>] дереккөзі негізінде</w:t>
      </w:r>
      <w:r w:rsidR="000C161C" w:rsidRPr="00D13EB5">
        <w:rPr>
          <w:rFonts w:ascii="Times New Roman" w:hAnsi="Times New Roman" w:cs="Times New Roman"/>
          <w:sz w:val="24"/>
          <w:szCs w:val="28"/>
        </w:rPr>
        <w:t xml:space="preserve"> VOSviewer </w:t>
      </w:r>
      <w:r w:rsidR="003736B3" w:rsidRPr="00D13EB5">
        <w:rPr>
          <w:rFonts w:ascii="Times New Roman" w:hAnsi="Times New Roman" w:cs="Times New Roman"/>
          <w:sz w:val="24"/>
          <w:szCs w:val="28"/>
        </w:rPr>
        <w:t>бағдарламасын</w:t>
      </w:r>
      <w:r w:rsidR="000C161C" w:rsidRPr="00D13EB5">
        <w:rPr>
          <w:rFonts w:ascii="Times New Roman" w:hAnsi="Times New Roman" w:cs="Times New Roman"/>
          <w:sz w:val="24"/>
          <w:szCs w:val="28"/>
        </w:rPr>
        <w:t xml:space="preserve"> қолдану арқылы  </w:t>
      </w:r>
      <w:r w:rsidRPr="00D13EB5">
        <w:rPr>
          <w:rFonts w:ascii="Times New Roman" w:hAnsi="Times New Roman" w:cs="Times New Roman"/>
          <w:sz w:val="24"/>
          <w:szCs w:val="28"/>
        </w:rPr>
        <w:t>автормен құрастырылған</w:t>
      </w:r>
    </w:p>
    <w:p w14:paraId="48C3CDAA" w14:textId="77777777" w:rsidR="00DD67B0" w:rsidRPr="006054A4" w:rsidRDefault="00DD67B0" w:rsidP="00DD67B0">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3-суретте «Стратегиялық басқарушылық есеп» түйін сөзінің өзге ұғымдармен байланысын 7 кластерге бөліп, олардың әрқайсысын жеке түске бояу арқылы өзара байланысын көрсеткен, байланыстырып тұрған сызықтар саны 7600 және байланыстың жалпы беріктігі 13496 сызық арқылы қосылғанын көрсетеді. Кластерлер әртүрлі түстермен белгіленеді, әрбір кілт сөздің өлшемі «total link strength» көрсеткішімен анықталады, бұл байланыстың жалпы беріктігі деп аталады да, берілген кілт сөздің басқалармен байланыс күшін сипаттайды. Олардың арасындағы сызықтар екі бөлек кілт сөз арасындағы байланысты көрсетеді. </w:t>
      </w:r>
    </w:p>
    <w:p w14:paraId="1AB5CDE0" w14:textId="77777777" w:rsidR="00DD67B0" w:rsidRPr="006054A4" w:rsidRDefault="00DD67B0" w:rsidP="00DD67B0">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«Стратегиялық басқарушылық есеп»  (қою қызыл түсті) кластері «Басқарушылық есеп» (қызғылт түсті) кластерінің дәл қасында орналасқан, бұл олардың арасындағы байланыстың тығыздығын көрсетеді. Осы екі кластерге қатысты негізгі кластерлер ретінде стратегиялық басқару есебі кілт сөзімен тікелей байланысатын кластерлер ретінде «Бухгалтерлік есеп» кластері (көк түсті), «Шығындар есебі» кластері (қою жасыл түсті), «Стратегиялық жоспарлау» кластері (жасыл түсті) бөлініп көрсетілген. Осы кластерлерге қосымша тағы екі кластареді ерекше бөліп көрсеткен, олар «Қоршаған ортаны басқару» кластері (күлгін түсті) және «Ақпараттық менеджмент» кластері (қоңыр түсті). Кластерлер атауы келесі өзара тәуелділікті көрсетеді: ақпарат алу, оны басқару мақсатында пайдалану, қоршаған ортаны ескере отырып стратегиялық жоспар жасау және шығындар есебін жүргізу, ұйым қызметінің тиімділігін арттыратын негізгі қадамдар жиынтығы. Шығындар есебін жүргізіп қана қоймай, оны ұйым старетгиясымен байланыстыру басты мақсат болып табылады. </w:t>
      </w:r>
    </w:p>
    <w:p w14:paraId="34AC158F" w14:textId="087A9A7B" w:rsidR="00DD67B0" w:rsidRPr="006054A4" w:rsidRDefault="00DD67B0" w:rsidP="00DB14E0">
      <w:pPr>
        <w:spacing w:after="0" w:line="240" w:lineRule="auto"/>
        <w:ind w:firstLine="709"/>
        <w:jc w:val="both"/>
        <w:rPr>
          <w:rFonts w:ascii="Times New Roman" w:hAnsi="Times New Roman" w:cs="Times New Roman"/>
          <w:sz w:val="28"/>
          <w:szCs w:val="28"/>
        </w:rPr>
      </w:pPr>
      <w:r w:rsidRPr="006054A4">
        <w:rPr>
          <w:rFonts w:ascii="Times New Roman" w:hAnsi="Times New Roman"/>
          <w:sz w:val="28"/>
          <w:szCs w:val="28"/>
        </w:rPr>
        <w:t xml:space="preserve">Осы кластерлер арасындағы өзара байланыстырушы сызықтардың көптігі, айталық ол сызықтар саны 13496 болатын болса, ол кластерлер арасындағы байланыстың қаншалықты тығыз екенін ашып көрсетеді. </w:t>
      </w:r>
    </w:p>
    <w:p w14:paraId="3F6C7CCB" w14:textId="004A763B" w:rsidR="00894307" w:rsidRPr="006054A4" w:rsidRDefault="00894307" w:rsidP="00894307">
      <w:pPr>
        <w:spacing w:after="0" w:line="240" w:lineRule="auto"/>
        <w:ind w:firstLine="709"/>
        <w:jc w:val="both"/>
        <w:rPr>
          <w:rFonts w:ascii="Times New Roman" w:hAnsi="Times New Roman"/>
          <w:sz w:val="28"/>
          <w:szCs w:val="28"/>
        </w:rPr>
      </w:pPr>
      <w:r w:rsidRPr="006054A4">
        <w:rPr>
          <w:rFonts w:ascii="Times New Roman" w:hAnsi="Times New Roman"/>
          <w:sz w:val="28"/>
          <w:szCs w:val="28"/>
        </w:rPr>
        <w:lastRenderedPageBreak/>
        <w:t>Стратегиялық басқарушылық есеп жүйесін қалыптастырудың негізгі мақсаты тұтастай алғанда ұйымның бәсекеге қабілеттілігін арттыру мақсатында олар ұсынатын деректердің пайдалылығы мен ақпараттылығын арттыру болып табылады.</w:t>
      </w:r>
    </w:p>
    <w:p w14:paraId="3918660F" w14:textId="4AE7FA4F" w:rsidR="00894307" w:rsidRPr="006054A4" w:rsidRDefault="00A514FF" w:rsidP="00894307">
      <w:pPr>
        <w:spacing w:after="0" w:line="240" w:lineRule="auto"/>
        <w:ind w:firstLine="709"/>
        <w:jc w:val="both"/>
        <w:rPr>
          <w:rFonts w:ascii="Times New Roman" w:hAnsi="Times New Roman"/>
          <w:spacing w:val="-3"/>
          <w:sz w:val="28"/>
          <w:szCs w:val="28"/>
        </w:rPr>
      </w:pPr>
      <w:r>
        <w:rPr>
          <w:rFonts w:ascii="Times New Roman" w:hAnsi="Times New Roman"/>
          <w:spacing w:val="-3"/>
          <w:sz w:val="28"/>
          <w:szCs w:val="28"/>
        </w:rPr>
        <w:t>С</w:t>
      </w:r>
      <w:r w:rsidR="00894307" w:rsidRPr="006054A4">
        <w:rPr>
          <w:rFonts w:ascii="Times New Roman" w:hAnsi="Times New Roman"/>
          <w:spacing w:val="-3"/>
          <w:sz w:val="28"/>
          <w:szCs w:val="28"/>
        </w:rPr>
        <w:t>тратегиялық басқарушылық есептің келесі функцияларын анықтауға болады:</w:t>
      </w:r>
    </w:p>
    <w:p w14:paraId="781019E0" w14:textId="54C2A6C9" w:rsidR="00894307" w:rsidRPr="006054A4" w:rsidRDefault="00894307" w:rsidP="00894307">
      <w:pPr>
        <w:spacing w:after="0" w:line="240" w:lineRule="auto"/>
        <w:ind w:firstLine="709"/>
        <w:jc w:val="both"/>
        <w:rPr>
          <w:rFonts w:ascii="Times New Roman" w:hAnsi="Times New Roman"/>
          <w:spacing w:val="-3"/>
          <w:sz w:val="28"/>
          <w:szCs w:val="28"/>
        </w:rPr>
      </w:pPr>
      <w:r w:rsidRPr="006054A4">
        <w:rPr>
          <w:rFonts w:ascii="Times New Roman" w:hAnsi="Times New Roman"/>
          <w:spacing w:val="-3"/>
          <w:sz w:val="28"/>
          <w:szCs w:val="28"/>
        </w:rPr>
        <w:t>1) болжамды функция</w:t>
      </w:r>
      <w:r w:rsidR="006B5AA6" w:rsidRPr="006054A4">
        <w:rPr>
          <w:rFonts w:ascii="Times New Roman" w:hAnsi="Times New Roman"/>
          <w:spacing w:val="-3"/>
          <w:sz w:val="28"/>
          <w:szCs w:val="28"/>
        </w:rPr>
        <w:t xml:space="preserve"> </w:t>
      </w:r>
      <w:r w:rsidRPr="006054A4">
        <w:rPr>
          <w:rFonts w:ascii="Times New Roman" w:hAnsi="Times New Roman"/>
          <w:spacing w:val="-3"/>
          <w:sz w:val="28"/>
          <w:szCs w:val="28"/>
        </w:rPr>
        <w:t>-</w:t>
      </w:r>
      <w:r w:rsidR="006B5AA6" w:rsidRPr="006054A4">
        <w:rPr>
          <w:rFonts w:ascii="Times New Roman" w:hAnsi="Times New Roman"/>
          <w:spacing w:val="-3"/>
          <w:sz w:val="28"/>
          <w:szCs w:val="28"/>
        </w:rPr>
        <w:t xml:space="preserve"> </w:t>
      </w:r>
      <w:r w:rsidRPr="006054A4">
        <w:rPr>
          <w:rFonts w:ascii="Times New Roman" w:hAnsi="Times New Roman"/>
          <w:spacing w:val="-3"/>
          <w:sz w:val="28"/>
          <w:szCs w:val="28"/>
        </w:rPr>
        <w:t>ұйымның бәсекелестік позициясына, бизнес-бірліктер, өнімді өткізу нарықтары, сатып алушылар топтары және т.б. бөлінісінде оның қызметінің қаржылық нәтижелеріне қатысты ұйымның даму стратегиясын көрсететін теңгерімді көрсеткіштердің декомпозициялық жүйесін құрайтын ғылыми экономикалық негізделген болжамдар жүйесін қалыптастыру.</w:t>
      </w:r>
    </w:p>
    <w:p w14:paraId="1CBD962C" w14:textId="77777777" w:rsidR="00894307" w:rsidRPr="006054A4" w:rsidRDefault="00894307" w:rsidP="00894307">
      <w:pPr>
        <w:spacing w:after="0" w:line="240" w:lineRule="auto"/>
        <w:ind w:firstLine="709"/>
        <w:jc w:val="both"/>
        <w:rPr>
          <w:rFonts w:ascii="Times New Roman" w:hAnsi="Times New Roman"/>
          <w:spacing w:val="-3"/>
          <w:sz w:val="28"/>
          <w:szCs w:val="28"/>
        </w:rPr>
      </w:pPr>
      <w:r w:rsidRPr="006054A4">
        <w:rPr>
          <w:rFonts w:ascii="Times New Roman" w:hAnsi="Times New Roman"/>
          <w:spacing w:val="-3"/>
          <w:sz w:val="28"/>
          <w:szCs w:val="28"/>
        </w:rPr>
        <w:t>2) Талдамалық функция – макро және микроорта динамикасының жай-күйі мен негізгі үрдістерін бағалау, ұйым стратегиясын іске асырудың мүмкіндіктері мен тәуекелдерін анықтау, таңдалған стратегияның тиімділігін және оны іске асыру процестерін бағалау.</w:t>
      </w:r>
    </w:p>
    <w:p w14:paraId="3036C9C3" w14:textId="6E6089B1" w:rsidR="00894307" w:rsidRPr="006054A4" w:rsidRDefault="00894307" w:rsidP="00894307">
      <w:pPr>
        <w:spacing w:after="0" w:line="240" w:lineRule="auto"/>
        <w:ind w:firstLine="709"/>
        <w:jc w:val="both"/>
        <w:rPr>
          <w:rFonts w:ascii="Times New Roman" w:hAnsi="Times New Roman"/>
          <w:spacing w:val="-3"/>
          <w:sz w:val="28"/>
          <w:szCs w:val="28"/>
        </w:rPr>
      </w:pPr>
      <w:r w:rsidRPr="006054A4">
        <w:rPr>
          <w:rFonts w:ascii="Times New Roman" w:hAnsi="Times New Roman"/>
          <w:spacing w:val="-3"/>
          <w:sz w:val="28"/>
          <w:szCs w:val="28"/>
        </w:rPr>
        <w:t>3) Бақылау функциясы – теріс үрдістерді не бәсекеге қабілеттіліктің өсуінің ескерілмеген мүмкіндіктерін жедел анықтау мақсатында макро және микроорта жай-күйінің ағымдағы мониторингі.</w:t>
      </w:r>
    </w:p>
    <w:p w14:paraId="40E70506" w14:textId="78FE94EE" w:rsidR="00894307" w:rsidRPr="006054A4" w:rsidRDefault="00894307" w:rsidP="00894307">
      <w:pPr>
        <w:spacing w:after="0" w:line="240" w:lineRule="auto"/>
        <w:ind w:firstLine="709"/>
        <w:jc w:val="both"/>
        <w:rPr>
          <w:rFonts w:ascii="Times New Roman" w:hAnsi="Times New Roman"/>
          <w:spacing w:val="-3"/>
          <w:sz w:val="28"/>
          <w:szCs w:val="28"/>
        </w:rPr>
      </w:pPr>
      <w:r w:rsidRPr="006054A4">
        <w:rPr>
          <w:rFonts w:ascii="Times New Roman" w:hAnsi="Times New Roman"/>
          <w:spacing w:val="-3"/>
          <w:sz w:val="28"/>
          <w:szCs w:val="28"/>
        </w:rPr>
        <w:t>4) Ақпараттық функция</w:t>
      </w:r>
      <w:r w:rsidR="006B5AA6" w:rsidRPr="006054A4">
        <w:rPr>
          <w:rFonts w:ascii="Times New Roman" w:hAnsi="Times New Roman"/>
          <w:spacing w:val="-3"/>
          <w:sz w:val="28"/>
          <w:szCs w:val="28"/>
        </w:rPr>
        <w:t xml:space="preserve"> </w:t>
      </w:r>
      <w:r w:rsidRPr="006054A4">
        <w:rPr>
          <w:rFonts w:ascii="Times New Roman" w:hAnsi="Times New Roman"/>
          <w:spacing w:val="-3"/>
          <w:sz w:val="28"/>
          <w:szCs w:val="28"/>
        </w:rPr>
        <w:t>-</w:t>
      </w:r>
      <w:r w:rsidR="006B5AA6" w:rsidRPr="006054A4">
        <w:rPr>
          <w:rFonts w:ascii="Times New Roman" w:hAnsi="Times New Roman"/>
          <w:spacing w:val="-3"/>
          <w:sz w:val="28"/>
          <w:szCs w:val="28"/>
        </w:rPr>
        <w:t xml:space="preserve"> </w:t>
      </w:r>
      <w:r w:rsidRPr="006054A4">
        <w:rPr>
          <w:rFonts w:ascii="Times New Roman" w:hAnsi="Times New Roman"/>
          <w:spacing w:val="-3"/>
          <w:sz w:val="28"/>
          <w:szCs w:val="28"/>
        </w:rPr>
        <w:t>стратегиялық басқарушылық шешімдерді қабылдау үшін ақпараттық база ретінде стратегиялық басқарушылық есептілікті қалыптастыру.</w:t>
      </w:r>
    </w:p>
    <w:p w14:paraId="31C4D13E" w14:textId="155B7451" w:rsidR="00894307" w:rsidRPr="006054A4" w:rsidRDefault="00894307" w:rsidP="00894307">
      <w:pPr>
        <w:spacing w:after="0" w:line="240" w:lineRule="auto"/>
        <w:ind w:firstLine="709"/>
        <w:jc w:val="both"/>
        <w:rPr>
          <w:rFonts w:ascii="Times New Roman" w:hAnsi="Times New Roman"/>
          <w:spacing w:val="-3"/>
          <w:sz w:val="28"/>
          <w:szCs w:val="28"/>
        </w:rPr>
      </w:pPr>
      <w:r w:rsidRPr="006054A4">
        <w:rPr>
          <w:rFonts w:ascii="Times New Roman" w:hAnsi="Times New Roman"/>
          <w:spacing w:val="-3"/>
          <w:sz w:val="28"/>
          <w:szCs w:val="28"/>
        </w:rPr>
        <w:t>5) Үйлестіру функциясы</w:t>
      </w:r>
      <w:r w:rsidR="006B5AA6" w:rsidRPr="006054A4">
        <w:rPr>
          <w:rFonts w:ascii="Times New Roman" w:hAnsi="Times New Roman"/>
          <w:spacing w:val="-3"/>
          <w:sz w:val="28"/>
          <w:szCs w:val="28"/>
        </w:rPr>
        <w:t xml:space="preserve"> </w:t>
      </w:r>
      <w:r w:rsidRPr="006054A4">
        <w:rPr>
          <w:rFonts w:ascii="Times New Roman" w:hAnsi="Times New Roman"/>
          <w:spacing w:val="-3"/>
          <w:sz w:val="28"/>
          <w:szCs w:val="28"/>
        </w:rPr>
        <w:t>-</w:t>
      </w:r>
      <w:r w:rsidR="006B5AA6" w:rsidRPr="006054A4">
        <w:rPr>
          <w:rFonts w:ascii="Times New Roman" w:hAnsi="Times New Roman"/>
          <w:spacing w:val="-3"/>
          <w:sz w:val="28"/>
          <w:szCs w:val="28"/>
        </w:rPr>
        <w:t xml:space="preserve"> </w:t>
      </w:r>
      <w:r w:rsidRPr="006054A4">
        <w:rPr>
          <w:rFonts w:ascii="Times New Roman" w:hAnsi="Times New Roman"/>
          <w:spacing w:val="-3"/>
          <w:sz w:val="28"/>
          <w:szCs w:val="28"/>
        </w:rPr>
        <w:t>ұйымның стратегиясын іске асыру жөніндегі іс-қимылдарды үйлестіру үшін жағдайлар жасау мақсатында қаржылық жауапкершілік орталықтары, бизнес-процестер, лауазымды тұлғалар және т.б. бөлінісінде стратегиялық қондырғылардың ыдырауы.</w:t>
      </w:r>
    </w:p>
    <w:p w14:paraId="1E247BDB" w14:textId="1FA0295A" w:rsidR="004B1C3F" w:rsidRPr="006054A4" w:rsidRDefault="001F214C" w:rsidP="00894307">
      <w:pPr>
        <w:spacing w:after="0" w:line="240" w:lineRule="auto"/>
        <w:ind w:firstLine="709"/>
        <w:jc w:val="both"/>
        <w:rPr>
          <w:rFonts w:ascii="Times New Roman" w:hAnsi="Times New Roman"/>
          <w:sz w:val="28"/>
          <w:szCs w:val="28"/>
        </w:rPr>
      </w:pPr>
      <w:r w:rsidRPr="006054A4">
        <w:rPr>
          <w:rFonts w:ascii="Times New Roman" w:hAnsi="Times New Roman"/>
          <w:sz w:val="28"/>
          <w:szCs w:val="28"/>
        </w:rPr>
        <w:t>Тәуекелдерді анықтау және бағалау, алдын-алу мақсатында болжау да стратегиялық басқарушылық есептің маңызды элементі болып табылады. Тәуекелді бағалау өте күрделі және көп сатылы процесс. Тәуекелді бағалау кәсіпорынның ғылыми, техникалық, технологиялық, экономикалық, маркетингтік және әлеуметтік зерттеулеріне негізделуі мүмкін. Сондай-ақ оның тәуекел көзі ретінде жұмыс істеу ортасы, сыртқы және ішкі тәуекел факторларын талдау, белгілі бір тәуекел факторларының әсерінен оқиғалардың даму тізбегін құру, тәуекел деңгейін бағалау көрсеткіштерін анықтау, сондай-ақ индикаторлар мен тәуекел факторларының өзара байланысының механизмдері мен модельдерін белгілеу.</w:t>
      </w:r>
    </w:p>
    <w:p w14:paraId="0648FCAC" w14:textId="533A0519" w:rsidR="001F214C" w:rsidRPr="006054A4" w:rsidRDefault="001F214C" w:rsidP="00894307">
      <w:pPr>
        <w:spacing w:after="0" w:line="240" w:lineRule="auto"/>
        <w:ind w:firstLine="709"/>
        <w:jc w:val="both"/>
        <w:rPr>
          <w:rFonts w:ascii="Times New Roman" w:hAnsi="Times New Roman"/>
          <w:sz w:val="28"/>
          <w:szCs w:val="28"/>
        </w:rPr>
      </w:pPr>
      <w:r w:rsidRPr="006054A4">
        <w:rPr>
          <w:rFonts w:ascii="Times New Roman" w:hAnsi="Times New Roman"/>
          <w:sz w:val="28"/>
          <w:szCs w:val="28"/>
        </w:rPr>
        <w:t>Тәуекелді бағалаумен байланысты атқарылуға тиісті жұмыстар реттілігі келесі кестеде келтірілді (кесте 1)</w:t>
      </w:r>
      <w:r w:rsidR="003E35FE" w:rsidRPr="006054A4">
        <w:rPr>
          <w:rFonts w:ascii="Times New Roman" w:hAnsi="Times New Roman"/>
          <w:sz w:val="28"/>
          <w:szCs w:val="28"/>
        </w:rPr>
        <w:t xml:space="preserve"> </w:t>
      </w:r>
      <w:r w:rsidR="003E35FE" w:rsidRPr="006054A4">
        <w:rPr>
          <w:rFonts w:ascii="Times New Roman" w:hAnsi="Times New Roman" w:cs="Times New Roman"/>
          <w:sz w:val="28"/>
          <w:szCs w:val="28"/>
        </w:rPr>
        <w:t>[2</w:t>
      </w:r>
      <w:r w:rsidR="00CA147D">
        <w:rPr>
          <w:rFonts w:ascii="Times New Roman" w:hAnsi="Times New Roman" w:cs="Times New Roman"/>
          <w:sz w:val="28"/>
          <w:szCs w:val="28"/>
        </w:rPr>
        <w:t>2</w:t>
      </w:r>
      <w:r w:rsidR="003E35FE" w:rsidRPr="006054A4">
        <w:rPr>
          <w:rFonts w:ascii="Times New Roman" w:hAnsi="Times New Roman" w:cs="Times New Roman"/>
          <w:sz w:val="28"/>
          <w:szCs w:val="28"/>
        </w:rPr>
        <w:t>]</w:t>
      </w:r>
      <w:r w:rsidRPr="006054A4">
        <w:rPr>
          <w:rFonts w:ascii="Times New Roman" w:hAnsi="Times New Roman"/>
          <w:sz w:val="28"/>
          <w:szCs w:val="28"/>
        </w:rPr>
        <w:t>.</w:t>
      </w:r>
    </w:p>
    <w:p w14:paraId="12FCC0F9" w14:textId="77777777" w:rsidR="001F214C" w:rsidRPr="006054A4" w:rsidRDefault="001F214C" w:rsidP="00894307">
      <w:pPr>
        <w:spacing w:after="0" w:line="240" w:lineRule="auto"/>
        <w:ind w:firstLine="709"/>
        <w:jc w:val="both"/>
        <w:rPr>
          <w:rFonts w:ascii="Times New Roman" w:hAnsi="Times New Roman"/>
          <w:sz w:val="28"/>
          <w:szCs w:val="28"/>
        </w:rPr>
      </w:pPr>
    </w:p>
    <w:p w14:paraId="4000B849" w14:textId="6F79E564" w:rsidR="001F214C" w:rsidRPr="00D13EB5" w:rsidRDefault="001F214C" w:rsidP="00894307">
      <w:pPr>
        <w:spacing w:after="0" w:line="240" w:lineRule="auto"/>
        <w:ind w:firstLine="709"/>
        <w:jc w:val="both"/>
        <w:rPr>
          <w:rFonts w:ascii="Times New Roman" w:hAnsi="Times New Roman"/>
          <w:sz w:val="28"/>
          <w:szCs w:val="28"/>
        </w:rPr>
      </w:pPr>
      <w:r w:rsidRPr="00D13EB5">
        <w:rPr>
          <w:rFonts w:ascii="Times New Roman" w:hAnsi="Times New Roman"/>
          <w:sz w:val="28"/>
          <w:szCs w:val="28"/>
        </w:rPr>
        <w:t xml:space="preserve">Кесте 1. </w:t>
      </w:r>
      <w:r w:rsidR="0082226E" w:rsidRPr="00D13EB5">
        <w:rPr>
          <w:rFonts w:ascii="Times New Roman" w:hAnsi="Times New Roman"/>
          <w:sz w:val="28"/>
          <w:szCs w:val="28"/>
        </w:rPr>
        <w:t>Тәуекелдерді бағалау үдерісінің құрылымы</w:t>
      </w:r>
    </w:p>
    <w:tbl>
      <w:tblPr>
        <w:tblStyle w:val="ad"/>
        <w:tblW w:w="0" w:type="auto"/>
        <w:tblLook w:val="04A0" w:firstRow="1" w:lastRow="0" w:firstColumn="1" w:lastColumn="0" w:noHBand="0" w:noVBand="1"/>
      </w:tblPr>
      <w:tblGrid>
        <w:gridCol w:w="2122"/>
        <w:gridCol w:w="7222"/>
      </w:tblGrid>
      <w:tr w:rsidR="001F214C" w:rsidRPr="006054A4" w14:paraId="79BD19F7" w14:textId="77777777" w:rsidTr="001F214C">
        <w:tc>
          <w:tcPr>
            <w:tcW w:w="2122" w:type="dxa"/>
          </w:tcPr>
          <w:p w14:paraId="3A4FDBC9" w14:textId="572B5F25" w:rsidR="001F214C" w:rsidRPr="006054A4" w:rsidRDefault="001F214C" w:rsidP="001F214C">
            <w:pPr>
              <w:jc w:val="center"/>
              <w:rPr>
                <w:rFonts w:ascii="Times New Roman" w:hAnsi="Times New Roman" w:cs="Times New Roman"/>
                <w:sz w:val="28"/>
                <w:szCs w:val="28"/>
              </w:rPr>
            </w:pPr>
            <w:r w:rsidRPr="006054A4">
              <w:rPr>
                <w:rFonts w:ascii="Times New Roman" w:hAnsi="Times New Roman" w:cs="Times New Roman"/>
                <w:sz w:val="28"/>
                <w:szCs w:val="28"/>
              </w:rPr>
              <w:t>Кезеңдер</w:t>
            </w:r>
          </w:p>
        </w:tc>
        <w:tc>
          <w:tcPr>
            <w:tcW w:w="7222" w:type="dxa"/>
          </w:tcPr>
          <w:p w14:paraId="24AF7235" w14:textId="26513C19" w:rsidR="001F214C" w:rsidRPr="006054A4" w:rsidRDefault="001F214C" w:rsidP="00894307">
            <w:pPr>
              <w:jc w:val="both"/>
              <w:rPr>
                <w:rFonts w:ascii="Times New Roman" w:hAnsi="Times New Roman" w:cs="Times New Roman"/>
                <w:sz w:val="28"/>
                <w:szCs w:val="28"/>
              </w:rPr>
            </w:pPr>
            <w:r w:rsidRPr="006054A4">
              <w:rPr>
                <w:rFonts w:ascii="Times New Roman" w:hAnsi="Times New Roman" w:cs="Times New Roman"/>
                <w:sz w:val="28"/>
                <w:szCs w:val="28"/>
              </w:rPr>
              <w:t>Жүзеге асырылуға тиісті әрекеттер</w:t>
            </w:r>
          </w:p>
        </w:tc>
      </w:tr>
      <w:tr w:rsidR="002D09C7" w:rsidRPr="006054A4" w14:paraId="41389BAB" w14:textId="77777777" w:rsidTr="001F214C">
        <w:tc>
          <w:tcPr>
            <w:tcW w:w="2122" w:type="dxa"/>
          </w:tcPr>
          <w:p w14:paraId="669A1A34" w14:textId="32D1C161" w:rsidR="002D09C7" w:rsidRPr="006054A4" w:rsidRDefault="002D09C7" w:rsidP="002D09C7">
            <w:pPr>
              <w:jc w:val="center"/>
              <w:rPr>
                <w:rFonts w:ascii="Times New Roman" w:hAnsi="Times New Roman" w:cs="Times New Roman"/>
                <w:sz w:val="28"/>
                <w:szCs w:val="28"/>
              </w:rPr>
            </w:pPr>
            <w:r w:rsidRPr="006054A4">
              <w:rPr>
                <w:rFonts w:ascii="Times New Roman" w:hAnsi="Times New Roman" w:cs="Times New Roman"/>
                <w:sz w:val="28"/>
                <w:szCs w:val="28"/>
              </w:rPr>
              <w:t>1-кезең</w:t>
            </w:r>
          </w:p>
        </w:tc>
        <w:tc>
          <w:tcPr>
            <w:tcW w:w="7222" w:type="dxa"/>
          </w:tcPr>
          <w:p w14:paraId="40EC384C" w14:textId="7CCD8043" w:rsidR="002D09C7" w:rsidRPr="006054A4" w:rsidRDefault="002D09C7" w:rsidP="002D09C7">
            <w:pPr>
              <w:jc w:val="both"/>
              <w:rPr>
                <w:rFonts w:ascii="Times New Roman" w:hAnsi="Times New Roman" w:cs="Times New Roman"/>
                <w:sz w:val="28"/>
                <w:szCs w:val="28"/>
              </w:rPr>
            </w:pPr>
            <w:r w:rsidRPr="006054A4">
              <w:rPr>
                <w:rFonts w:ascii="Times New Roman" w:hAnsi="Times New Roman" w:cs="Times New Roman"/>
                <w:sz w:val="28"/>
                <w:szCs w:val="28"/>
              </w:rPr>
              <w:t>Тәуекелдерді анықтау</w:t>
            </w:r>
          </w:p>
        </w:tc>
      </w:tr>
      <w:tr w:rsidR="002D09C7" w:rsidRPr="006054A4" w14:paraId="7490FFAC" w14:textId="77777777" w:rsidTr="001F214C">
        <w:tc>
          <w:tcPr>
            <w:tcW w:w="2122" w:type="dxa"/>
          </w:tcPr>
          <w:p w14:paraId="33B8C3B7" w14:textId="52260FEC" w:rsidR="002D09C7" w:rsidRPr="006054A4" w:rsidRDefault="0082226E" w:rsidP="002D09C7">
            <w:pPr>
              <w:jc w:val="center"/>
              <w:rPr>
                <w:rFonts w:ascii="Times New Roman" w:hAnsi="Times New Roman" w:cs="Times New Roman"/>
                <w:sz w:val="28"/>
                <w:szCs w:val="28"/>
              </w:rPr>
            </w:pPr>
            <w:r w:rsidRPr="006054A4">
              <w:rPr>
                <w:rFonts w:ascii="Times New Roman" w:hAnsi="Times New Roman" w:cs="Times New Roman"/>
                <w:sz w:val="28"/>
                <w:szCs w:val="28"/>
              </w:rPr>
              <w:t>2</w:t>
            </w:r>
            <w:r w:rsidR="002D09C7" w:rsidRPr="006054A4">
              <w:rPr>
                <w:rFonts w:ascii="Times New Roman" w:hAnsi="Times New Roman" w:cs="Times New Roman"/>
                <w:sz w:val="28"/>
                <w:szCs w:val="28"/>
              </w:rPr>
              <w:t>-кезең</w:t>
            </w:r>
          </w:p>
        </w:tc>
        <w:tc>
          <w:tcPr>
            <w:tcW w:w="7222" w:type="dxa"/>
          </w:tcPr>
          <w:p w14:paraId="52392017" w14:textId="1400BACC" w:rsidR="002D09C7" w:rsidRPr="006054A4" w:rsidRDefault="002D09C7" w:rsidP="002D09C7">
            <w:pPr>
              <w:jc w:val="both"/>
              <w:rPr>
                <w:rFonts w:ascii="Times New Roman" w:hAnsi="Times New Roman" w:cs="Times New Roman"/>
                <w:sz w:val="28"/>
                <w:szCs w:val="28"/>
              </w:rPr>
            </w:pPr>
            <w:r w:rsidRPr="006054A4">
              <w:rPr>
                <w:rFonts w:ascii="Times New Roman" w:hAnsi="Times New Roman" w:cs="Times New Roman"/>
                <w:sz w:val="28"/>
                <w:szCs w:val="28"/>
              </w:rPr>
              <w:t>Оларды іске асырудан келтірілген залалды бағалау</w:t>
            </w:r>
          </w:p>
        </w:tc>
      </w:tr>
      <w:tr w:rsidR="002D09C7" w:rsidRPr="006054A4" w14:paraId="34461D1D" w14:textId="77777777" w:rsidTr="001F214C">
        <w:tc>
          <w:tcPr>
            <w:tcW w:w="2122" w:type="dxa"/>
          </w:tcPr>
          <w:p w14:paraId="79AD6A35" w14:textId="1744E54E" w:rsidR="002D09C7" w:rsidRPr="006054A4" w:rsidRDefault="0082226E" w:rsidP="002D09C7">
            <w:pPr>
              <w:jc w:val="center"/>
              <w:rPr>
                <w:rFonts w:ascii="Times New Roman" w:hAnsi="Times New Roman" w:cs="Times New Roman"/>
                <w:sz w:val="28"/>
                <w:szCs w:val="28"/>
              </w:rPr>
            </w:pPr>
            <w:r w:rsidRPr="006054A4">
              <w:rPr>
                <w:rFonts w:ascii="Times New Roman" w:hAnsi="Times New Roman" w:cs="Times New Roman"/>
                <w:sz w:val="28"/>
                <w:szCs w:val="28"/>
              </w:rPr>
              <w:t>3</w:t>
            </w:r>
            <w:r w:rsidR="002D09C7" w:rsidRPr="006054A4">
              <w:rPr>
                <w:rFonts w:ascii="Times New Roman" w:hAnsi="Times New Roman" w:cs="Times New Roman"/>
                <w:sz w:val="28"/>
                <w:szCs w:val="28"/>
              </w:rPr>
              <w:t>-кезең</w:t>
            </w:r>
          </w:p>
        </w:tc>
        <w:tc>
          <w:tcPr>
            <w:tcW w:w="7222" w:type="dxa"/>
          </w:tcPr>
          <w:p w14:paraId="0CD075DB" w14:textId="69FD6729" w:rsidR="002D09C7" w:rsidRPr="006054A4" w:rsidRDefault="002D09C7" w:rsidP="002D09C7">
            <w:pPr>
              <w:jc w:val="both"/>
              <w:rPr>
                <w:rFonts w:ascii="Times New Roman" w:hAnsi="Times New Roman" w:cs="Times New Roman"/>
                <w:sz w:val="28"/>
                <w:szCs w:val="28"/>
              </w:rPr>
            </w:pPr>
            <w:r w:rsidRPr="006054A4">
              <w:rPr>
                <w:rFonts w:ascii="Times New Roman" w:hAnsi="Times New Roman" w:cs="Times New Roman"/>
                <w:sz w:val="28"/>
                <w:szCs w:val="28"/>
              </w:rPr>
              <w:t>Тәуекелдерді олардың қауіптілік дәрежесі мен маңыздылығы бойынша саралау</w:t>
            </w:r>
          </w:p>
        </w:tc>
      </w:tr>
      <w:tr w:rsidR="002D09C7" w:rsidRPr="006054A4" w14:paraId="6D7DE03A" w14:textId="77777777" w:rsidTr="001F214C">
        <w:tc>
          <w:tcPr>
            <w:tcW w:w="2122" w:type="dxa"/>
          </w:tcPr>
          <w:p w14:paraId="00D7B11D" w14:textId="1C2A2509" w:rsidR="002D09C7" w:rsidRPr="006054A4" w:rsidRDefault="0082226E" w:rsidP="002D09C7">
            <w:pPr>
              <w:jc w:val="center"/>
              <w:rPr>
                <w:rFonts w:ascii="Times New Roman" w:hAnsi="Times New Roman" w:cs="Times New Roman"/>
                <w:sz w:val="28"/>
                <w:szCs w:val="28"/>
              </w:rPr>
            </w:pPr>
            <w:r w:rsidRPr="006054A4">
              <w:rPr>
                <w:rFonts w:ascii="Times New Roman" w:hAnsi="Times New Roman" w:cs="Times New Roman"/>
                <w:sz w:val="28"/>
                <w:szCs w:val="28"/>
              </w:rPr>
              <w:lastRenderedPageBreak/>
              <w:t>4</w:t>
            </w:r>
            <w:r w:rsidR="002D09C7" w:rsidRPr="006054A4">
              <w:rPr>
                <w:rFonts w:ascii="Times New Roman" w:hAnsi="Times New Roman" w:cs="Times New Roman"/>
                <w:sz w:val="28"/>
                <w:szCs w:val="28"/>
              </w:rPr>
              <w:t>-кезең</w:t>
            </w:r>
          </w:p>
        </w:tc>
        <w:tc>
          <w:tcPr>
            <w:tcW w:w="7222" w:type="dxa"/>
          </w:tcPr>
          <w:p w14:paraId="6DB25543" w14:textId="6E786145" w:rsidR="002D09C7" w:rsidRPr="006054A4" w:rsidRDefault="002D09C7" w:rsidP="002D09C7">
            <w:pPr>
              <w:jc w:val="both"/>
              <w:rPr>
                <w:rFonts w:ascii="Times New Roman" w:hAnsi="Times New Roman" w:cs="Times New Roman"/>
                <w:sz w:val="28"/>
                <w:szCs w:val="28"/>
              </w:rPr>
            </w:pPr>
            <w:r w:rsidRPr="006054A4">
              <w:rPr>
                <w:rFonts w:ascii="Times New Roman" w:hAnsi="Times New Roman" w:cs="Times New Roman"/>
                <w:sz w:val="28"/>
                <w:szCs w:val="28"/>
              </w:rPr>
              <w:t>Тәуекелдердің әрқайсысын іске асырудан болатын ықтимал шығындарды бағалау</w:t>
            </w:r>
          </w:p>
        </w:tc>
      </w:tr>
      <w:tr w:rsidR="002D09C7" w:rsidRPr="006054A4" w14:paraId="6593B1BA" w14:textId="77777777" w:rsidTr="001F214C">
        <w:tc>
          <w:tcPr>
            <w:tcW w:w="2122" w:type="dxa"/>
          </w:tcPr>
          <w:p w14:paraId="1110043D" w14:textId="15262207" w:rsidR="002D09C7" w:rsidRPr="006054A4" w:rsidRDefault="0082226E" w:rsidP="002D09C7">
            <w:pPr>
              <w:jc w:val="center"/>
              <w:rPr>
                <w:rFonts w:ascii="Times New Roman" w:hAnsi="Times New Roman" w:cs="Times New Roman"/>
                <w:sz w:val="28"/>
                <w:szCs w:val="28"/>
              </w:rPr>
            </w:pPr>
            <w:r w:rsidRPr="006054A4">
              <w:rPr>
                <w:rFonts w:ascii="Times New Roman" w:hAnsi="Times New Roman" w:cs="Times New Roman"/>
                <w:sz w:val="28"/>
                <w:szCs w:val="28"/>
              </w:rPr>
              <w:t>5</w:t>
            </w:r>
            <w:r w:rsidR="002D09C7" w:rsidRPr="006054A4">
              <w:rPr>
                <w:rFonts w:ascii="Times New Roman" w:hAnsi="Times New Roman" w:cs="Times New Roman"/>
                <w:sz w:val="28"/>
                <w:szCs w:val="28"/>
              </w:rPr>
              <w:t>-кезең</w:t>
            </w:r>
          </w:p>
        </w:tc>
        <w:tc>
          <w:tcPr>
            <w:tcW w:w="7222" w:type="dxa"/>
          </w:tcPr>
          <w:p w14:paraId="2E7F52AE" w14:textId="6144535A" w:rsidR="002D09C7" w:rsidRPr="006054A4" w:rsidRDefault="002D09C7" w:rsidP="002D09C7">
            <w:pPr>
              <w:jc w:val="both"/>
              <w:rPr>
                <w:rFonts w:ascii="Times New Roman" w:hAnsi="Times New Roman" w:cs="Times New Roman"/>
                <w:sz w:val="28"/>
                <w:szCs w:val="28"/>
              </w:rPr>
            </w:pPr>
            <w:r w:rsidRPr="006054A4">
              <w:rPr>
                <w:rFonts w:ascii="Times New Roman" w:hAnsi="Times New Roman" w:cs="Times New Roman"/>
                <w:sz w:val="28"/>
                <w:szCs w:val="28"/>
              </w:rPr>
              <w:t>Режимді басқару әдісін таңдау және оларды жүзеге асыру шығындарын бағалау</w:t>
            </w:r>
          </w:p>
        </w:tc>
      </w:tr>
      <w:tr w:rsidR="002D09C7" w:rsidRPr="006054A4" w14:paraId="4D749CD3" w14:textId="77777777" w:rsidTr="001F214C">
        <w:tc>
          <w:tcPr>
            <w:tcW w:w="2122" w:type="dxa"/>
          </w:tcPr>
          <w:p w14:paraId="18CFF6DB" w14:textId="00886AC5" w:rsidR="002D09C7" w:rsidRPr="006054A4" w:rsidRDefault="0082226E" w:rsidP="002D09C7">
            <w:pPr>
              <w:jc w:val="center"/>
              <w:rPr>
                <w:rFonts w:ascii="Times New Roman" w:hAnsi="Times New Roman" w:cs="Times New Roman"/>
                <w:sz w:val="28"/>
                <w:szCs w:val="28"/>
              </w:rPr>
            </w:pPr>
            <w:r w:rsidRPr="006054A4">
              <w:rPr>
                <w:rFonts w:ascii="Times New Roman" w:hAnsi="Times New Roman" w:cs="Times New Roman"/>
                <w:sz w:val="28"/>
                <w:szCs w:val="28"/>
              </w:rPr>
              <w:t>6</w:t>
            </w:r>
            <w:r w:rsidR="002D09C7" w:rsidRPr="006054A4">
              <w:rPr>
                <w:rFonts w:ascii="Times New Roman" w:hAnsi="Times New Roman" w:cs="Times New Roman"/>
                <w:sz w:val="28"/>
                <w:szCs w:val="28"/>
              </w:rPr>
              <w:t>-кезең</w:t>
            </w:r>
          </w:p>
        </w:tc>
        <w:tc>
          <w:tcPr>
            <w:tcW w:w="7222" w:type="dxa"/>
          </w:tcPr>
          <w:p w14:paraId="7D3DF889" w14:textId="1A6E166B" w:rsidR="002D09C7" w:rsidRPr="006054A4" w:rsidRDefault="002D09C7" w:rsidP="002D09C7">
            <w:pPr>
              <w:jc w:val="both"/>
              <w:rPr>
                <w:rFonts w:ascii="Times New Roman" w:hAnsi="Times New Roman" w:cs="Times New Roman"/>
                <w:sz w:val="28"/>
                <w:szCs w:val="28"/>
              </w:rPr>
            </w:pPr>
            <w:r w:rsidRPr="006054A4">
              <w:rPr>
                <w:rFonts w:ascii="Times New Roman" w:hAnsi="Times New Roman" w:cs="Times New Roman"/>
                <w:sz w:val="28"/>
                <w:szCs w:val="28"/>
              </w:rPr>
              <w:t>Басқаруға қабылданатын тәуекелдерді таңдау</w:t>
            </w:r>
          </w:p>
        </w:tc>
      </w:tr>
      <w:tr w:rsidR="002D09C7" w:rsidRPr="006054A4" w14:paraId="0C7BE63D" w14:textId="77777777" w:rsidTr="001F214C">
        <w:tc>
          <w:tcPr>
            <w:tcW w:w="2122" w:type="dxa"/>
          </w:tcPr>
          <w:p w14:paraId="5F5F9068" w14:textId="490057AE" w:rsidR="002D09C7" w:rsidRPr="006054A4" w:rsidRDefault="0082226E" w:rsidP="002D09C7">
            <w:pPr>
              <w:jc w:val="center"/>
              <w:rPr>
                <w:rFonts w:ascii="Times New Roman" w:hAnsi="Times New Roman" w:cs="Times New Roman"/>
                <w:sz w:val="28"/>
                <w:szCs w:val="28"/>
              </w:rPr>
            </w:pPr>
            <w:r w:rsidRPr="006054A4">
              <w:rPr>
                <w:rFonts w:ascii="Times New Roman" w:hAnsi="Times New Roman" w:cs="Times New Roman"/>
                <w:sz w:val="28"/>
                <w:szCs w:val="28"/>
              </w:rPr>
              <w:t>7</w:t>
            </w:r>
            <w:r w:rsidR="002D09C7" w:rsidRPr="006054A4">
              <w:rPr>
                <w:rFonts w:ascii="Times New Roman" w:hAnsi="Times New Roman" w:cs="Times New Roman"/>
                <w:sz w:val="28"/>
                <w:szCs w:val="28"/>
              </w:rPr>
              <w:t>-кезең</w:t>
            </w:r>
          </w:p>
        </w:tc>
        <w:tc>
          <w:tcPr>
            <w:tcW w:w="7222" w:type="dxa"/>
          </w:tcPr>
          <w:p w14:paraId="7033C0E4" w14:textId="291CDA23" w:rsidR="002D09C7" w:rsidRPr="006054A4" w:rsidRDefault="002D09C7" w:rsidP="002D09C7">
            <w:pPr>
              <w:jc w:val="both"/>
              <w:rPr>
                <w:rFonts w:ascii="Times New Roman" w:hAnsi="Times New Roman" w:cs="Times New Roman"/>
                <w:sz w:val="28"/>
                <w:szCs w:val="28"/>
              </w:rPr>
            </w:pPr>
            <w:r w:rsidRPr="006054A4">
              <w:rPr>
                <w:rFonts w:ascii="Times New Roman" w:hAnsi="Times New Roman" w:cs="Times New Roman"/>
                <w:sz w:val="28"/>
                <w:szCs w:val="28"/>
              </w:rPr>
              <w:t>Тәуекелдерді жүзеге асыру салдарын жою жөніндегі іс-шараларды дайындау</w:t>
            </w:r>
          </w:p>
        </w:tc>
      </w:tr>
      <w:tr w:rsidR="001F214C" w:rsidRPr="006054A4" w14:paraId="5E57BDAA" w14:textId="77777777" w:rsidTr="00E03660">
        <w:tc>
          <w:tcPr>
            <w:tcW w:w="9344" w:type="dxa"/>
            <w:gridSpan w:val="2"/>
          </w:tcPr>
          <w:p w14:paraId="2F8A0E6A" w14:textId="25BB3B51" w:rsidR="001F214C" w:rsidRPr="006054A4" w:rsidRDefault="001F214C" w:rsidP="001F214C">
            <w:pPr>
              <w:ind w:firstLine="599"/>
              <w:jc w:val="both"/>
              <w:rPr>
                <w:rFonts w:ascii="Times New Roman" w:hAnsi="Times New Roman" w:cs="Times New Roman"/>
                <w:sz w:val="28"/>
                <w:szCs w:val="28"/>
              </w:rPr>
            </w:pPr>
            <w:r w:rsidRPr="006054A4">
              <w:rPr>
                <w:rFonts w:ascii="Times New Roman" w:hAnsi="Times New Roman" w:cs="Times New Roman"/>
                <w:sz w:val="28"/>
                <w:szCs w:val="28"/>
              </w:rPr>
              <w:t>Ескерту – автормен құрастырылған</w:t>
            </w:r>
          </w:p>
        </w:tc>
      </w:tr>
    </w:tbl>
    <w:p w14:paraId="405AC220" w14:textId="77777777" w:rsidR="001F214C" w:rsidRPr="006054A4" w:rsidRDefault="001F214C" w:rsidP="00894307">
      <w:pPr>
        <w:spacing w:after="0" w:line="240" w:lineRule="auto"/>
        <w:ind w:firstLine="709"/>
        <w:jc w:val="both"/>
        <w:rPr>
          <w:rFonts w:ascii="Times New Roman" w:hAnsi="Times New Roman"/>
          <w:sz w:val="28"/>
          <w:szCs w:val="28"/>
        </w:rPr>
      </w:pPr>
    </w:p>
    <w:p w14:paraId="3366C7F3" w14:textId="4F150BD7" w:rsidR="00BE3ADE" w:rsidRPr="006054A4" w:rsidRDefault="00BE3ADE" w:rsidP="00BE3ADE">
      <w:pPr>
        <w:spacing w:after="0" w:line="240" w:lineRule="auto"/>
        <w:ind w:firstLine="709"/>
        <w:jc w:val="both"/>
        <w:rPr>
          <w:rFonts w:ascii="Times New Roman" w:hAnsi="Times New Roman"/>
          <w:sz w:val="28"/>
          <w:szCs w:val="28"/>
        </w:rPr>
      </w:pPr>
      <w:r w:rsidRPr="006054A4">
        <w:rPr>
          <w:rFonts w:ascii="Times New Roman" w:hAnsi="Times New Roman"/>
          <w:sz w:val="28"/>
          <w:szCs w:val="28"/>
        </w:rPr>
        <w:t>Тәуекелдерді бағалау процесінде ықтимал зиянды есептеу керек, содан кейін кәсіпорын үшін қолайсыз жағдайлардың даму сценарийлерінің жиынтығын қалыптастыру керек.</w:t>
      </w:r>
    </w:p>
    <w:p w14:paraId="015047B6" w14:textId="77777777" w:rsidR="00BE3ADE" w:rsidRPr="006054A4" w:rsidRDefault="00BE3ADE" w:rsidP="00BE3ADE">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Тәуекелді бағалаудың соңғы кезеңі жаңа ақпаратты ескере отырып, артықшылықты стратегияны іске асыру қорытындыларын тексеру және түзету болып саналады. Басқарушылық тәуекелді бағалау объектісі әрбір кәсіпорынның стратегиялық шешімдері мен стратегиялық жоспары болып саналады, онда кәсіпорынға қатысты сыртқы ортаның болашақтағы дамуын салыстырмалы түрде бекіту дәйектілігі, сондай-ақ бүкіл басшылықтың іс-қимыл тәсілі бойынша ұсыныстар, өнімді тұтынушылардың, шикізат жеткізушілердің, бәсекелестердің және т. б. жоспарланған стратегиялық іс-шараларға реакциялар туралы болжамды мәлімдемелер бар. </w:t>
      </w:r>
    </w:p>
    <w:p w14:paraId="122766F1" w14:textId="77777777" w:rsidR="001C0DFE" w:rsidRPr="006054A4" w:rsidRDefault="001C0DFE" w:rsidP="001C0DFE">
      <w:pPr>
        <w:spacing w:after="0" w:line="240" w:lineRule="auto"/>
        <w:ind w:firstLine="709"/>
        <w:jc w:val="both"/>
        <w:rPr>
          <w:rFonts w:ascii="Times New Roman" w:hAnsi="Times New Roman"/>
          <w:sz w:val="28"/>
          <w:szCs w:val="28"/>
        </w:rPr>
      </w:pPr>
      <w:r w:rsidRPr="006054A4">
        <w:rPr>
          <w:rFonts w:ascii="Times New Roman" w:hAnsi="Times New Roman"/>
          <w:sz w:val="28"/>
          <w:szCs w:val="28"/>
        </w:rPr>
        <w:t>Басқарушылық тәуекел дәрежесін төмендетуге бағытталған іс-шаралардың көпшілігін келесідей топтастыруға болады:</w:t>
      </w:r>
    </w:p>
    <w:p w14:paraId="0CA4F3DC" w14:textId="77777777" w:rsidR="001C0DFE" w:rsidRPr="006054A4" w:rsidRDefault="001C0DFE" w:rsidP="001C0DFE">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Басқарушылық тәуекелді болдырмау бұл тәуекелдерді бейтараптандырудың консервативті тәсілдерінің бірі, бұл елеулі тәуекелге әкелуі мүмкін әрекеттерден бас тартуды білдіреді. </w:t>
      </w:r>
    </w:p>
    <w:p w14:paraId="2F2BFD43" w14:textId="77777777" w:rsidR="001C0DFE" w:rsidRPr="006054A4" w:rsidRDefault="001C0DFE" w:rsidP="001C0DFE">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Тәуекелді ұстап қалу тәуекелді қабылдаудан және өзін-өзі сақтандырудан, яғни шығынды жабуға резервтер құрудан тұрады. Резервтік сома, әдетте, ықтимал залалды толығымен жабу үшін қажетті сомаға тең. </w:t>
      </w:r>
    </w:p>
    <w:p w14:paraId="26AF542F" w14:textId="784E2ADD" w:rsidR="006B5AA6" w:rsidRPr="006054A4" w:rsidRDefault="001C0DFE" w:rsidP="001C0DFE">
      <w:pPr>
        <w:spacing w:after="0" w:line="240" w:lineRule="auto"/>
        <w:ind w:firstLine="709"/>
        <w:jc w:val="both"/>
        <w:rPr>
          <w:rFonts w:ascii="Times New Roman" w:hAnsi="Times New Roman"/>
          <w:sz w:val="28"/>
          <w:szCs w:val="28"/>
        </w:rPr>
      </w:pPr>
      <w:r w:rsidRPr="006054A4">
        <w:rPr>
          <w:rFonts w:ascii="Times New Roman" w:hAnsi="Times New Roman"/>
          <w:sz w:val="28"/>
          <w:szCs w:val="28"/>
        </w:rPr>
        <w:t>Тәуекелді азайту. Тұрақты жоғары тәуекел жағдайында кәсіпкерлік қызметті жүргізу қауіпті. Тәуекелді зиянның ықтималдығы мен мөлшерін азайту мақсатында болжанбайтын жойқын оқиғалардың алдын алуға бағытталған әртүрлі алдын алу шараларын қолдану арқылы азайтуға болады. Залалдың алдын алу әдетте шығындарды өтеуге қарағанда арзанырақ болғандықтан, әрбір кәсіпкер ең алдымен сақтық шараларына қызығушылық танытады. Дегенмен, бұл техникалық және экономикалық себептерге байланысты әрқашан мүмкін емес. Мысалы, табиғи апаттардың алдын алу мүмкін емес немесе қиын.</w:t>
      </w:r>
    </w:p>
    <w:p w14:paraId="6F642645" w14:textId="77777777" w:rsidR="002A2ACA" w:rsidRPr="006054A4" w:rsidRDefault="002A2ACA" w:rsidP="002A2ACA">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Кәсіпорындағы (шаруашылықтағы) өндірісті мұқият жоспарлау және болжау кәсіпкерлік тәуекелдің айтарлықтай төмендеуіне ықпал етеді, сондықтан кәсіпкердің бизнес-жоспарында тәуекелдерді талдау және есептеу болуы керек. </w:t>
      </w:r>
    </w:p>
    <w:p w14:paraId="701D1EBF" w14:textId="77777777" w:rsidR="002A2ACA" w:rsidRPr="006054A4" w:rsidRDefault="002A2ACA" w:rsidP="002A2ACA">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Бизнес-жоспар сонымен қатар осы тәуекелдерді азайту және туындауы мүмкін шығындарды азайту шараларын әзірлейді. Бұл шаралар ұйымдастырушылық сипатта болуы мүмкін, мысалы, жабдықты </w:t>
      </w:r>
      <w:r w:rsidRPr="006054A4">
        <w:rPr>
          <w:rFonts w:ascii="Times New Roman" w:hAnsi="Times New Roman"/>
          <w:sz w:val="28"/>
          <w:szCs w:val="28"/>
        </w:rPr>
        <w:lastRenderedPageBreak/>
        <w:t>жеткізушілерді, қайта өңдеу ұйымдарында шикізатты жеткізу тәсілдерін ауыстыруды немесе тәуекелдерден сақтандыру бағдарламасын қарастырады.</w:t>
      </w:r>
    </w:p>
    <w:p w14:paraId="283184FE" w14:textId="77777777" w:rsidR="002A2ACA" w:rsidRPr="006054A4" w:rsidRDefault="002A2ACA" w:rsidP="002A2ACA">
      <w:pPr>
        <w:spacing w:after="0" w:line="240" w:lineRule="auto"/>
        <w:ind w:firstLine="709"/>
        <w:jc w:val="both"/>
        <w:rPr>
          <w:rFonts w:ascii="Times New Roman" w:hAnsi="Times New Roman"/>
          <w:sz w:val="28"/>
          <w:szCs w:val="28"/>
        </w:rPr>
      </w:pPr>
      <w:r w:rsidRPr="006054A4">
        <w:rPr>
          <w:rFonts w:ascii="Times New Roman" w:hAnsi="Times New Roman"/>
          <w:sz w:val="28"/>
          <w:szCs w:val="28"/>
        </w:rPr>
        <w:t>Тәуекелді беру-кәсіпкерлік қызметтегі ең кең таралған әдіс. Кәсіпкерлікте тәуекелді беру көбінесе сақтандыру арқылы жүзеге асырылады. Сақтандыру тауар өндірушінің күтпеген қолайсыз жағдайларға тәуелділігін азайтуға мүмкіндік береді. Осыған байланысты бұл зиянды өтеудің негізгі әдісі болып табылады. Алайда, сақтандыру ықтимал зиянды (толық немесе ішінара) ақшалай түрде өтейді, бірақ жоғалған тауарлық - материалдық құндылықтарды өтемейді.</w:t>
      </w:r>
    </w:p>
    <w:p w14:paraId="0EC7C4A4" w14:textId="77777777" w:rsidR="002A2ACA" w:rsidRPr="006054A4" w:rsidRDefault="002A2ACA" w:rsidP="002A2ACA">
      <w:pPr>
        <w:spacing w:after="0" w:line="240" w:lineRule="auto"/>
        <w:ind w:firstLine="709"/>
        <w:jc w:val="both"/>
        <w:rPr>
          <w:rFonts w:ascii="Times New Roman" w:hAnsi="Times New Roman"/>
          <w:sz w:val="28"/>
          <w:szCs w:val="28"/>
        </w:rPr>
      </w:pPr>
      <w:r w:rsidRPr="006054A4">
        <w:rPr>
          <w:rFonts w:ascii="Times New Roman" w:hAnsi="Times New Roman"/>
          <w:sz w:val="28"/>
          <w:szCs w:val="28"/>
        </w:rPr>
        <w:t xml:space="preserve">Әртараптандыру-инвестицияланған қаражатты әр түрлі байланысты емес арасында бөлу процесі әртараптандыру - қаржылық тәуекелді төмендетудің ең негізделген және салыстырмалы түрде аз шығындалатын тәсілі. </w:t>
      </w:r>
    </w:p>
    <w:p w14:paraId="52EE331A" w14:textId="20CF7C2E" w:rsidR="002A2ACA" w:rsidRPr="006054A4" w:rsidRDefault="002A2ACA" w:rsidP="002A2ACA">
      <w:pPr>
        <w:spacing w:after="0" w:line="240" w:lineRule="auto"/>
        <w:ind w:firstLine="709"/>
        <w:jc w:val="both"/>
        <w:rPr>
          <w:rFonts w:ascii="Times New Roman" w:hAnsi="Times New Roman"/>
          <w:sz w:val="28"/>
          <w:szCs w:val="28"/>
        </w:rPr>
      </w:pPr>
      <w:r w:rsidRPr="006054A4">
        <w:rPr>
          <w:rFonts w:ascii="Times New Roman" w:hAnsi="Times New Roman"/>
          <w:sz w:val="28"/>
          <w:szCs w:val="28"/>
        </w:rPr>
        <w:t>Лимиттеу - бұл лимитті, яғни шығыстардың, сатудың, несиенің және т.б. шекті сомаларын белгілеу. лимиттеу тәуекел дәрежесін төмендетудің маңызды құралы болып табылады және шаруашылық жүргізуші субъект - тауарларды несиеге сату кезінде, жол чектері мен еурочектер бойынша, инвестор-объектілермен капиталды салу сомаларын анықтау кезінде қолданады. Әртараптандыру капиталды әр түрлі қызмет түрлеріне бөлу кезінде тәуекелдің бір бөлігін болдырмауға мүмкіндік береді.</w:t>
      </w:r>
    </w:p>
    <w:p w14:paraId="2EB5174C" w14:textId="77777777" w:rsidR="002A2ACA" w:rsidRPr="006054A4" w:rsidRDefault="002A2ACA" w:rsidP="002A2ACA">
      <w:pPr>
        <w:spacing w:after="0" w:line="240" w:lineRule="auto"/>
        <w:ind w:firstLine="709"/>
        <w:jc w:val="both"/>
        <w:rPr>
          <w:rFonts w:ascii="Times New Roman" w:hAnsi="Times New Roman"/>
          <w:sz w:val="28"/>
          <w:szCs w:val="28"/>
        </w:rPr>
      </w:pPr>
      <w:r w:rsidRPr="006054A4">
        <w:rPr>
          <w:rFonts w:ascii="Times New Roman" w:hAnsi="Times New Roman"/>
          <w:sz w:val="28"/>
          <w:szCs w:val="28"/>
        </w:rPr>
        <w:t>Бірақ көбінесе ұйым тәуекелді азайту үшін жаһандық проблемалар туғызбайды, ол кем дегенде оның деңгейін сақтауға тырысады. Тәуекелді қолданыстағы деңгейде сақтау әрдайым зиянды өтеуге бағытталған кез-келген әрекеттен бас тартуды білдірмейді, дегенмен бұл мүмкіндік қарастырылған.</w:t>
      </w:r>
    </w:p>
    <w:p w14:paraId="65C746FD" w14:textId="77777777" w:rsidR="002A2ACA" w:rsidRPr="006054A4" w:rsidRDefault="005C07E3" w:rsidP="00FD5AE5">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b/>
          <w:bCs/>
          <w:i/>
          <w:iCs/>
          <w:sz w:val="28"/>
          <w:szCs w:val="28"/>
        </w:rPr>
        <w:t xml:space="preserve">Қорытындылар. </w:t>
      </w:r>
      <w:r w:rsidR="002A2ACA" w:rsidRPr="006054A4">
        <w:rPr>
          <w:rFonts w:ascii="Times New Roman" w:hAnsi="Times New Roman" w:cs="Times New Roman"/>
          <w:sz w:val="28"/>
          <w:szCs w:val="28"/>
        </w:rPr>
        <w:t xml:space="preserve">Басқарушылық тәуекел-түпкілікті оң нәтижеге толық сенімсіз (кепілдіксіз) әзірленген басқарушылық шешімді іске асыру үшін басшының өзіне жауапкершілікті қабылдауы. </w:t>
      </w:r>
    </w:p>
    <w:p w14:paraId="4CBB0A5B" w14:textId="77777777" w:rsidR="002A2ACA" w:rsidRPr="006054A4" w:rsidRDefault="002A2ACA" w:rsidP="00FD5AE5">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 xml:space="preserve">Басқарушылық тәуекелдер компанияның жалпы тәуекелдерінің бір бөлігін құрайды. Олар шешімдерді жүзеге асыру кезінде немесе біраз уақыттан кейін туындауы мүмкін басқарушылық шешімдерден туындаған қалаулы немесе қалаусыз жағдайлардың жиынтығы. </w:t>
      </w:r>
    </w:p>
    <w:p w14:paraId="2C0BDF65" w14:textId="77777777" w:rsidR="002A2ACA" w:rsidRPr="006054A4" w:rsidRDefault="002A2ACA" w:rsidP="00FD5AE5">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 xml:space="preserve">Басқарушылық тәуекел тәуекелдердің кең жиынтығының бөлігі болып саналады. Тұтастай алғанда ұйымның қызметіне айтарлықтай әсер етеді. </w:t>
      </w:r>
    </w:p>
    <w:p w14:paraId="38719E4D" w14:textId="6A234C0D" w:rsidR="00D8040A" w:rsidRDefault="002A2ACA" w:rsidP="00D8040A">
      <w:pPr>
        <w:spacing w:after="0" w:line="240" w:lineRule="auto"/>
        <w:ind w:firstLine="709"/>
        <w:jc w:val="both"/>
        <w:rPr>
          <w:rFonts w:ascii="Times New Roman" w:hAnsi="Times New Roman" w:cs="Times New Roman"/>
          <w:sz w:val="28"/>
          <w:szCs w:val="28"/>
        </w:rPr>
      </w:pPr>
      <w:r w:rsidRPr="006054A4">
        <w:rPr>
          <w:rFonts w:ascii="Times New Roman" w:hAnsi="Times New Roman" w:cs="Times New Roman"/>
          <w:sz w:val="28"/>
          <w:szCs w:val="28"/>
        </w:rPr>
        <w:t>Басқарушылық тәуекелді бағалау-бұл тәуекелді талдау процедураларының жиынтығы. нәтижесінде әр ұйымның басты міндеті-тәуекелден мүлдем бас тарту емес, объективті критерийлер негізінде тәуекелге байланысты шешімдерді таңдау, атап айтқанда кәсіпкер тәуекелге бара алатын шектерге дейін әрекет ете алады.</w:t>
      </w:r>
    </w:p>
    <w:p w14:paraId="67298662" w14:textId="77777777" w:rsidR="00D8040A" w:rsidRPr="00D8040A" w:rsidRDefault="00D8040A" w:rsidP="00D8040A">
      <w:pPr>
        <w:spacing w:after="0" w:line="240" w:lineRule="auto"/>
        <w:ind w:firstLine="709"/>
        <w:jc w:val="both"/>
        <w:rPr>
          <w:rFonts w:ascii="Times New Roman" w:hAnsi="Times New Roman" w:cs="Times New Roman"/>
          <w:sz w:val="28"/>
          <w:szCs w:val="28"/>
        </w:rPr>
      </w:pPr>
    </w:p>
    <w:p w14:paraId="3259989F" w14:textId="58CAC715" w:rsidR="00996803" w:rsidRPr="00D8040A" w:rsidRDefault="00A10878" w:rsidP="00A10878">
      <w:pPr>
        <w:spacing w:after="0" w:line="240" w:lineRule="auto"/>
        <w:jc w:val="center"/>
        <w:rPr>
          <w:rFonts w:ascii="Times New Roman" w:hAnsi="Times New Roman" w:cs="Times New Roman"/>
          <w:b/>
          <w:bCs/>
          <w:sz w:val="28"/>
          <w:szCs w:val="28"/>
        </w:rPr>
      </w:pPr>
      <w:r w:rsidRPr="006054A4">
        <w:rPr>
          <w:rFonts w:ascii="Times New Roman" w:hAnsi="Times New Roman" w:cs="Times New Roman"/>
          <w:b/>
          <w:bCs/>
          <w:sz w:val="28"/>
          <w:szCs w:val="28"/>
        </w:rPr>
        <w:t>Ә</w:t>
      </w:r>
      <w:r w:rsidR="00996803" w:rsidRPr="006054A4">
        <w:rPr>
          <w:rFonts w:ascii="Times New Roman" w:hAnsi="Times New Roman" w:cs="Times New Roman"/>
          <w:b/>
          <w:bCs/>
          <w:sz w:val="28"/>
          <w:szCs w:val="28"/>
        </w:rPr>
        <w:t>дебиеттер</w:t>
      </w:r>
      <w:r>
        <w:rPr>
          <w:rFonts w:ascii="Times New Roman" w:hAnsi="Times New Roman" w:cs="Times New Roman"/>
          <w:b/>
          <w:bCs/>
          <w:sz w:val="28"/>
          <w:szCs w:val="28"/>
        </w:rPr>
        <w:t xml:space="preserve"> </w:t>
      </w:r>
      <w:r w:rsidR="00996803" w:rsidRPr="006054A4">
        <w:rPr>
          <w:rFonts w:ascii="Times New Roman" w:hAnsi="Times New Roman" w:cs="Times New Roman"/>
          <w:b/>
          <w:bCs/>
          <w:sz w:val="28"/>
          <w:szCs w:val="28"/>
        </w:rPr>
        <w:t>тізімі</w:t>
      </w:r>
      <w:r w:rsidR="002A2ACA" w:rsidRPr="006054A4">
        <w:rPr>
          <w:rFonts w:ascii="Times New Roman" w:hAnsi="Times New Roman" w:cs="Times New Roman"/>
          <w:b/>
          <w:bCs/>
          <w:sz w:val="28"/>
          <w:szCs w:val="28"/>
        </w:rPr>
        <w:t>:</w:t>
      </w:r>
    </w:p>
    <w:p w14:paraId="7D0E89A0" w14:textId="024730D5" w:rsidR="00996803" w:rsidRPr="006054A4" w:rsidRDefault="00996803"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 xml:space="preserve">Kenneth Simmonds, Strategic Management Accounting for Pricing: A Case Example,Accounting and Business Research, 1982, 206-214, </w:t>
      </w:r>
      <w:hyperlink r:id="rId8" w:history="1">
        <w:r w:rsidRPr="006054A4">
          <w:rPr>
            <w:rStyle w:val="ac"/>
            <w:rFonts w:ascii="Times New Roman" w:hAnsi="Times New Roman" w:cs="Times New Roman"/>
            <w:sz w:val="28"/>
            <w:szCs w:val="28"/>
          </w:rPr>
          <w:t>http://dx.doi.org/10.1080/00014788.1982.9728809</w:t>
        </w:r>
      </w:hyperlink>
    </w:p>
    <w:p w14:paraId="47A124C8" w14:textId="05DBA3B4" w:rsidR="00996803" w:rsidRPr="006054A4" w:rsidRDefault="00996803"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lang w:val="en-US"/>
        </w:rPr>
        <w:lastRenderedPageBreak/>
        <w:t>Michael Bromwich, The case for strategic management accounting: the role of accounting information for strategy in competitive markets, Accounting Organizations and Society, 1990</w:t>
      </w:r>
      <w:r w:rsidRPr="006054A4">
        <w:rPr>
          <w:rFonts w:ascii="Times New Roman" w:hAnsi="Times New Roman" w:cs="Times New Roman"/>
          <w:sz w:val="28"/>
          <w:szCs w:val="28"/>
        </w:rPr>
        <w:t>,</w:t>
      </w:r>
      <w:r w:rsidRPr="006054A4">
        <w:rPr>
          <w:rFonts w:ascii="Times New Roman" w:hAnsi="Times New Roman" w:cs="Times New Roman"/>
          <w:sz w:val="28"/>
          <w:szCs w:val="28"/>
          <w:lang w:val="en-US"/>
        </w:rPr>
        <w:t xml:space="preserve"> Vol. 15, </w:t>
      </w:r>
      <w:r w:rsidRPr="006054A4">
        <w:rPr>
          <w:rFonts w:ascii="Times New Roman" w:hAnsi="Times New Roman" w:cs="Times New Roman"/>
          <w:sz w:val="28"/>
          <w:szCs w:val="28"/>
        </w:rPr>
        <w:t>№</w:t>
      </w:r>
      <w:r w:rsidRPr="006054A4">
        <w:rPr>
          <w:rFonts w:ascii="Times New Roman" w:hAnsi="Times New Roman" w:cs="Times New Roman"/>
          <w:sz w:val="28"/>
          <w:szCs w:val="28"/>
          <w:lang w:val="en-US"/>
        </w:rPr>
        <w:t xml:space="preserve"> 1/2, pp7 27-46</w:t>
      </w:r>
    </w:p>
    <w:p w14:paraId="0A1519CC" w14:textId="5E8DC1B7" w:rsidR="003A7D1D" w:rsidRPr="006054A4" w:rsidRDefault="003A7D1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lang w:val="en-US"/>
        </w:rPr>
        <w:t xml:space="preserve">Lord, B. R. (1996). </w:t>
      </w:r>
      <w:r w:rsidRPr="006054A4">
        <w:rPr>
          <w:rFonts w:ascii="Times New Roman" w:hAnsi="Times New Roman" w:cs="Times New Roman"/>
          <w:i/>
          <w:iCs/>
          <w:sz w:val="28"/>
          <w:szCs w:val="28"/>
          <w:lang w:val="en-US"/>
        </w:rPr>
        <w:t xml:space="preserve">Strategic management accounting: the emperor’s new clothes? </w:t>
      </w:r>
      <w:r w:rsidRPr="006054A4">
        <w:rPr>
          <w:rFonts w:ascii="Times New Roman" w:hAnsi="Times New Roman" w:cs="Times New Roman"/>
          <w:i/>
          <w:iCs/>
          <w:sz w:val="28"/>
          <w:szCs w:val="28"/>
        </w:rPr>
        <w:t>Management Accounting Research, 7(3), 347–366.</w:t>
      </w:r>
      <w:r w:rsidRPr="006054A4">
        <w:rPr>
          <w:rFonts w:ascii="Times New Roman" w:hAnsi="Times New Roman" w:cs="Times New Roman"/>
          <w:sz w:val="28"/>
          <w:szCs w:val="28"/>
        </w:rPr>
        <w:t xml:space="preserve"> doi:10.1006/mare.1996.0020</w:t>
      </w:r>
    </w:p>
    <w:p w14:paraId="5F94B21C" w14:textId="10FC28A4" w:rsidR="003A7D1D" w:rsidRPr="006054A4" w:rsidRDefault="003A7D1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Колин Друри, Управленческий и производственный учет: учебный комплекс для студентов вузов / пер. С англ. В.Н.Егорова,. – 6-е изд. – М.:Юнити-Дана, 2012. – 1423 стр. – Серия «Зарубежный учебник», 897 стр.</w:t>
      </w:r>
    </w:p>
    <w:p w14:paraId="5653ED04" w14:textId="047BF92A" w:rsidR="003A7D1D" w:rsidRPr="006054A4" w:rsidRDefault="003A7D1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lang w:val="en-US"/>
        </w:rPr>
        <w:t>Keith Ward, Strategic Management accounting, Routledge, New York, 2011 (first published in 1992</w:t>
      </w:r>
      <w:r w:rsidRPr="006054A4">
        <w:rPr>
          <w:rFonts w:ascii="Times New Roman" w:hAnsi="Times New Roman" w:cs="Times New Roman"/>
          <w:sz w:val="28"/>
          <w:szCs w:val="28"/>
        </w:rPr>
        <w:t>)</w:t>
      </w:r>
      <w:r w:rsidRPr="006054A4">
        <w:rPr>
          <w:rFonts w:ascii="Times New Roman" w:hAnsi="Times New Roman" w:cs="Times New Roman"/>
          <w:sz w:val="28"/>
          <w:szCs w:val="28"/>
          <w:lang w:val="en-US"/>
        </w:rPr>
        <w:t>, 322 p.</w:t>
      </w:r>
    </w:p>
    <w:p w14:paraId="18461A02" w14:textId="7DA681EB" w:rsidR="003A7D1D" w:rsidRPr="006054A4" w:rsidRDefault="003A7D1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CIMA Official Terminology, С</w:t>
      </w:r>
      <w:r w:rsidRPr="006054A4">
        <w:rPr>
          <w:rFonts w:ascii="Times New Roman" w:hAnsi="Times New Roman" w:cs="Times New Roman"/>
          <w:sz w:val="28"/>
          <w:szCs w:val="28"/>
          <w:lang w:val="en-US"/>
        </w:rPr>
        <w:t>IMA</w:t>
      </w:r>
      <w:r w:rsidRPr="006054A4">
        <w:rPr>
          <w:rFonts w:ascii="Times New Roman" w:hAnsi="Times New Roman" w:cs="Times New Roman"/>
          <w:sz w:val="28"/>
          <w:szCs w:val="28"/>
        </w:rPr>
        <w:t xml:space="preserve"> publishing, </w:t>
      </w:r>
      <w:r w:rsidRPr="006054A4">
        <w:rPr>
          <w:rFonts w:ascii="Times New Roman" w:hAnsi="Times New Roman" w:cs="Times New Roman"/>
          <w:sz w:val="28"/>
          <w:szCs w:val="28"/>
          <w:lang w:val="en-US"/>
        </w:rPr>
        <w:t>L</w:t>
      </w:r>
      <w:r w:rsidRPr="006054A4">
        <w:rPr>
          <w:rFonts w:ascii="Times New Roman" w:hAnsi="Times New Roman" w:cs="Times New Roman"/>
          <w:sz w:val="28"/>
          <w:szCs w:val="28"/>
        </w:rPr>
        <w:t>ondon, 2005 Edition</w:t>
      </w:r>
    </w:p>
    <w:p w14:paraId="23DDB686" w14:textId="29EEFC78" w:rsidR="0086368D" w:rsidRPr="006054A4" w:rsidRDefault="0086368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Айтжанова Ж.Н.Автореферат диссертации на соискание ученой степени доктора экономических наук «Стратегический учет собственности: теория и практика (на материалах Республики Казахстан)[Текст]: / Ж.Н. Айтжанова , Алматы.-2003.-47с.</w:t>
      </w:r>
    </w:p>
    <w:p w14:paraId="661DD958" w14:textId="54545289" w:rsidR="0086368D" w:rsidRPr="006054A4" w:rsidRDefault="0086368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Назарова В.Л., Стратегический управленческий учет и его роль в управлении предприятием, Монография. Бишкек, 2014.-163с.</w:t>
      </w:r>
    </w:p>
    <w:p w14:paraId="0EFB9643" w14:textId="726C0DC2" w:rsidR="0086368D" w:rsidRPr="006054A4" w:rsidRDefault="0086368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 xml:space="preserve">Тайгашинова К.Т. </w:t>
      </w:r>
      <w:r w:rsidR="002A2ACA" w:rsidRPr="006054A4">
        <w:rPr>
          <w:rFonts w:ascii="Times New Roman" w:hAnsi="Times New Roman" w:cs="Times New Roman"/>
          <w:sz w:val="28"/>
          <w:szCs w:val="28"/>
        </w:rPr>
        <w:t>Управленческий учет. учебное пособие. Алматы: Қазақ университеті, 2021.-333с.</w:t>
      </w:r>
    </w:p>
    <w:p w14:paraId="32D25E50" w14:textId="5A1C74AD" w:rsidR="0086368D" w:rsidRPr="006054A4" w:rsidRDefault="0086368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Сатаев А.С. Теоретические основы статегического управленческого учета в стратегическом менеджменте, Вестник КазНУ. Серия экономическая. №6 (106). 2014</w:t>
      </w:r>
      <w:r w:rsidR="00913F5D" w:rsidRPr="006054A4">
        <w:rPr>
          <w:rFonts w:ascii="Times New Roman" w:hAnsi="Times New Roman" w:cs="Times New Roman"/>
          <w:sz w:val="28"/>
          <w:szCs w:val="28"/>
        </w:rPr>
        <w:t>, стр. 58-66.</w:t>
      </w:r>
    </w:p>
    <w:p w14:paraId="32C0A20A" w14:textId="5F21844F" w:rsidR="0086368D" w:rsidRPr="006054A4" w:rsidRDefault="0086368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Стратегический управленческий учет: учебное пособие / Б.Ж. Акимова, А.О. Махамбетова, Л.Ж. Айтхожина, А.А. Кажмухаметова— Алматы: New book, 2021 — 256 с.</w:t>
      </w:r>
    </w:p>
    <w:p w14:paraId="104D80C7" w14:textId="25CC0846" w:rsidR="009847BC" w:rsidRPr="006054A4" w:rsidRDefault="009847BC"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Адиетова Э., Альдешова С., Бакирбекова А.</w:t>
      </w:r>
      <w:r w:rsidR="00CA147D">
        <w:rPr>
          <w:rFonts w:ascii="Times New Roman" w:hAnsi="Times New Roman" w:cs="Times New Roman"/>
          <w:sz w:val="28"/>
          <w:szCs w:val="28"/>
        </w:rPr>
        <w:t xml:space="preserve"> Особенности организации стратегического управленческого учета в организациях. </w:t>
      </w:r>
      <w:r w:rsidRPr="006054A4">
        <w:rPr>
          <w:rFonts w:ascii="Times New Roman" w:hAnsi="Times New Roman" w:cs="Times New Roman"/>
          <w:i/>
          <w:iCs/>
          <w:sz w:val="28"/>
          <w:szCs w:val="28"/>
        </w:rPr>
        <w:t>Вестник Атырауского университета имени Халела Досмухамедова</w:t>
      </w:r>
      <w:r w:rsidRPr="006054A4">
        <w:rPr>
          <w:rFonts w:ascii="Times New Roman" w:hAnsi="Times New Roman" w:cs="Times New Roman"/>
          <w:sz w:val="28"/>
          <w:szCs w:val="28"/>
        </w:rPr>
        <w:t>. 2022;67(4):108-117. </w:t>
      </w:r>
      <w:hyperlink r:id="rId9" w:tgtFrame="_blank" w:history="1">
        <w:r w:rsidRPr="006054A4">
          <w:rPr>
            <w:rStyle w:val="ac"/>
            <w:rFonts w:ascii="Times New Roman" w:hAnsi="Times New Roman" w:cs="Times New Roman"/>
            <w:sz w:val="28"/>
            <w:szCs w:val="28"/>
          </w:rPr>
          <w:t>https://doi.org/10.47649/vau.2022.v67.i4.11</w:t>
        </w:r>
      </w:hyperlink>
    </w:p>
    <w:p w14:paraId="6F1C4D65" w14:textId="34FE0689" w:rsidR="00913F5D" w:rsidRPr="006054A4" w:rsidRDefault="00913F5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 xml:space="preserve">Jianben Feng «Financial accounting management strategy based on business intelligence technology for sustainable development strategy Received», Discover Artificial Intelligence 2025 5: 7 | </w:t>
      </w:r>
      <w:hyperlink r:id="rId10" w:history="1">
        <w:r w:rsidRPr="006054A4">
          <w:rPr>
            <w:rStyle w:val="ac"/>
            <w:rFonts w:ascii="Times New Roman" w:hAnsi="Times New Roman" w:cs="Times New Roman"/>
            <w:sz w:val="28"/>
            <w:szCs w:val="28"/>
          </w:rPr>
          <w:t>https://doi.org/10.1007/s44163-025-00366-x</w:t>
        </w:r>
      </w:hyperlink>
    </w:p>
    <w:p w14:paraId="7A62B0F1" w14:textId="7627F60B" w:rsidR="00913F5D" w:rsidRPr="006054A4" w:rsidRDefault="00913F5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Chotia, V., Khoualdi, K., Broccardo, L., Yaqub, M.Z.</w:t>
      </w:r>
      <w:r w:rsidRPr="006054A4">
        <w:rPr>
          <w:rFonts w:ascii="Times New Roman" w:hAnsi="Times New Roman" w:cs="Times New Roman"/>
          <w:sz w:val="28"/>
          <w:szCs w:val="28"/>
          <w:vertAlign w:val="superscript"/>
        </w:rPr>
        <w:t xml:space="preserve"> </w:t>
      </w:r>
      <w:r w:rsidR="00862249" w:rsidRPr="006054A4">
        <w:rPr>
          <w:rFonts w:ascii="Times New Roman" w:hAnsi="Times New Roman" w:cs="Times New Roman"/>
          <w:sz w:val="28"/>
          <w:szCs w:val="28"/>
        </w:rPr>
        <w:t>«</w:t>
      </w:r>
      <w:r w:rsidRPr="006054A4">
        <w:rPr>
          <w:rFonts w:ascii="Times New Roman" w:hAnsi="Times New Roman" w:cs="Times New Roman"/>
          <w:sz w:val="28"/>
          <w:szCs w:val="28"/>
        </w:rPr>
        <w:t>The role of cyber security and digital transformation in gaining competitive advantage through Strategic Management Accounting»</w:t>
      </w:r>
      <w:r w:rsidR="00862249" w:rsidRPr="006054A4">
        <w:rPr>
          <w:rFonts w:ascii="Times New Roman" w:hAnsi="Times New Roman" w:cs="Times New Roman"/>
          <w:sz w:val="28"/>
          <w:szCs w:val="28"/>
        </w:rPr>
        <w:t>,</w:t>
      </w:r>
      <w:r w:rsidRPr="006054A4">
        <w:rPr>
          <w:rFonts w:ascii="Times New Roman" w:hAnsi="Times New Roman" w:cs="Times New Roman"/>
          <w:sz w:val="28"/>
          <w:szCs w:val="28"/>
          <w:vertAlign w:val="superscript"/>
        </w:rPr>
        <w:t xml:space="preserve"> </w:t>
      </w:r>
      <w:hyperlink r:id="rId11" w:tooltip="Посмотреть сведения о документе" w:history="1">
        <w:r w:rsidRPr="006054A4">
          <w:rPr>
            <w:rStyle w:val="ac"/>
            <w:rFonts w:ascii="Times New Roman" w:hAnsi="Times New Roman" w:cs="Times New Roman"/>
            <w:color w:val="auto"/>
            <w:sz w:val="28"/>
            <w:szCs w:val="28"/>
            <w:u w:val="none"/>
          </w:rPr>
          <w:t>Technology in Society</w:t>
        </w:r>
      </w:hyperlink>
      <w:r w:rsidRPr="006054A4">
        <w:rPr>
          <w:rFonts w:ascii="Times New Roman" w:hAnsi="Times New Roman" w:cs="Times New Roman"/>
          <w:sz w:val="28"/>
          <w:szCs w:val="28"/>
        </w:rPr>
        <w:t xml:space="preserve"> (2025), 81.</w:t>
      </w:r>
      <w:r w:rsidRPr="006054A4">
        <w:rPr>
          <w:rFonts w:ascii="Times New Roman" w:eastAsia="Times New Roman" w:hAnsi="Times New Roman" w:cs="Times New Roman"/>
          <w:color w:val="525254"/>
          <w:kern w:val="0"/>
          <w:sz w:val="28"/>
          <w:szCs w:val="28"/>
          <w14:ligatures w14:val="none"/>
        </w:rPr>
        <w:t xml:space="preserve"> </w:t>
      </w:r>
      <w:r w:rsidRPr="006054A4">
        <w:rPr>
          <w:rFonts w:ascii="Times New Roman" w:hAnsi="Times New Roman" w:cs="Times New Roman"/>
          <w:sz w:val="28"/>
          <w:szCs w:val="28"/>
        </w:rPr>
        <w:t>DOI: </w:t>
      </w:r>
      <w:hyperlink r:id="rId12" w:tgtFrame="_blank" w:history="1">
        <w:r w:rsidRPr="006054A4">
          <w:rPr>
            <w:rStyle w:val="ac"/>
            <w:rFonts w:ascii="Times New Roman" w:hAnsi="Times New Roman" w:cs="Times New Roman"/>
            <w:sz w:val="28"/>
            <w:szCs w:val="28"/>
          </w:rPr>
          <w:t>10.1016/j.techsoc.2025.102851</w:t>
        </w:r>
      </w:hyperlink>
    </w:p>
    <w:p w14:paraId="1E45874B" w14:textId="64B1BD3E" w:rsidR="00913F5D" w:rsidRPr="006054A4" w:rsidRDefault="00913F5D" w:rsidP="00DC07CF">
      <w:pPr>
        <w:pStyle w:val="a7"/>
        <w:numPr>
          <w:ilvl w:val="0"/>
          <w:numId w:val="14"/>
        </w:numPr>
        <w:tabs>
          <w:tab w:val="left" w:pos="1134"/>
        </w:tabs>
        <w:spacing w:after="0" w:line="240" w:lineRule="auto"/>
        <w:ind w:left="0" w:firstLine="709"/>
        <w:jc w:val="both"/>
        <w:rPr>
          <w:rFonts w:ascii="Times New Roman" w:eastAsiaTheme="majorEastAsia" w:hAnsi="Times New Roman" w:cs="Times New Roman"/>
          <w:color w:val="0F4761" w:themeColor="accent1" w:themeShade="BF"/>
          <w:sz w:val="28"/>
          <w:szCs w:val="28"/>
        </w:rPr>
      </w:pPr>
      <w:r w:rsidRPr="006054A4">
        <w:rPr>
          <w:rFonts w:ascii="Times New Roman" w:eastAsiaTheme="majorEastAsia" w:hAnsi="Times New Roman" w:cs="Times New Roman"/>
          <w:sz w:val="28"/>
          <w:szCs w:val="28"/>
        </w:rPr>
        <w:t>Jalloul, R., &amp; Haque, M.(2025). The Impact of RiskManagement on Countries in theMENA Region. Journal of Risk and</w:t>
      </w:r>
      <w:r w:rsidR="00862249" w:rsidRPr="006054A4">
        <w:rPr>
          <w:rFonts w:ascii="Times New Roman" w:eastAsiaTheme="majorEastAsia" w:hAnsi="Times New Roman" w:cs="Times New Roman"/>
          <w:sz w:val="28"/>
          <w:szCs w:val="28"/>
        </w:rPr>
        <w:t xml:space="preserve"> </w:t>
      </w:r>
      <w:r w:rsidRPr="006054A4">
        <w:rPr>
          <w:rFonts w:ascii="Times New Roman" w:eastAsiaTheme="majorEastAsia" w:hAnsi="Times New Roman" w:cs="Times New Roman"/>
          <w:sz w:val="28"/>
          <w:szCs w:val="28"/>
        </w:rPr>
        <w:t>Financial Management, 18(5), 243.</w:t>
      </w:r>
      <w:r w:rsidR="00862249" w:rsidRPr="006054A4">
        <w:rPr>
          <w:rFonts w:ascii="Times New Roman" w:eastAsiaTheme="majorEastAsia" w:hAnsi="Times New Roman" w:cs="Times New Roman"/>
          <w:sz w:val="28"/>
          <w:szCs w:val="28"/>
        </w:rPr>
        <w:t xml:space="preserve"> </w:t>
      </w:r>
      <w:r w:rsidRPr="006054A4">
        <w:rPr>
          <w:rFonts w:ascii="Times New Roman" w:eastAsiaTheme="majorEastAsia" w:hAnsi="Times New Roman" w:cs="Times New Roman"/>
          <w:color w:val="0F4761" w:themeColor="accent1" w:themeShade="BF"/>
          <w:sz w:val="28"/>
          <w:szCs w:val="28"/>
        </w:rPr>
        <w:t>https://doi.org/10.3390/jrfm18050243</w:t>
      </w:r>
    </w:p>
    <w:p w14:paraId="54C50278" w14:textId="7616FE20" w:rsidR="00913F5D" w:rsidRPr="006054A4" w:rsidRDefault="00913F5D" w:rsidP="00DC07CF">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6054A4">
        <w:rPr>
          <w:rFonts w:ascii="Times New Roman" w:hAnsi="Times New Roman" w:cs="Times New Roman"/>
          <w:sz w:val="28"/>
          <w:szCs w:val="28"/>
        </w:rPr>
        <w:t>Khalid, M.A., Mutalib, H.A., Mohamed, R.</w:t>
      </w:r>
      <w:r w:rsidR="00862249" w:rsidRPr="006054A4">
        <w:rPr>
          <w:rFonts w:ascii="Times New Roman" w:hAnsi="Times New Roman" w:cs="Times New Roman"/>
          <w:sz w:val="28"/>
          <w:szCs w:val="28"/>
        </w:rPr>
        <w:t xml:space="preserve"> «</w:t>
      </w:r>
      <w:r w:rsidRPr="006054A4">
        <w:rPr>
          <w:rFonts w:ascii="Times New Roman" w:hAnsi="Times New Roman" w:cs="Times New Roman"/>
          <w:sz w:val="28"/>
          <w:szCs w:val="28"/>
        </w:rPr>
        <w:t>The Impact of Strategic Management Accounting on Environmental Sustainability: A Study in Malaysian Construction Industry</w:t>
      </w:r>
      <w:r w:rsidR="00862249" w:rsidRPr="006054A4">
        <w:rPr>
          <w:rFonts w:ascii="Times New Roman" w:hAnsi="Times New Roman" w:cs="Times New Roman"/>
          <w:sz w:val="28"/>
          <w:szCs w:val="28"/>
        </w:rPr>
        <w:t>»</w:t>
      </w:r>
      <w:r w:rsidRPr="006054A4">
        <w:rPr>
          <w:rFonts w:ascii="Times New Roman" w:hAnsi="Times New Roman" w:cs="Times New Roman"/>
          <w:sz w:val="28"/>
          <w:szCs w:val="28"/>
        </w:rPr>
        <w:t xml:space="preserve">, </w:t>
      </w:r>
      <w:hyperlink r:id="rId13" w:tooltip="Посмотреть сведения о документе" w:history="1">
        <w:r w:rsidRPr="006054A4">
          <w:rPr>
            <w:rStyle w:val="ac"/>
            <w:rFonts w:ascii="Times New Roman" w:hAnsi="Times New Roman" w:cs="Times New Roman"/>
            <w:color w:val="auto"/>
            <w:sz w:val="28"/>
            <w:szCs w:val="28"/>
            <w:u w:val="none"/>
          </w:rPr>
          <w:t>Paper Asia</w:t>
        </w:r>
      </w:hyperlink>
      <w:r w:rsidRPr="006054A4">
        <w:rPr>
          <w:rFonts w:ascii="Times New Roman" w:hAnsi="Times New Roman" w:cs="Times New Roman"/>
          <w:sz w:val="28"/>
          <w:szCs w:val="28"/>
        </w:rPr>
        <w:t>, 41(2), рр. 142–154, DOI: </w:t>
      </w:r>
      <w:hyperlink r:id="rId14" w:history="1">
        <w:r w:rsidR="00862249" w:rsidRPr="006054A4">
          <w:rPr>
            <w:rStyle w:val="ac"/>
            <w:rFonts w:ascii="Times New Roman" w:hAnsi="Times New Roman" w:cs="Times New Roman"/>
            <w:sz w:val="28"/>
            <w:szCs w:val="28"/>
          </w:rPr>
          <w:t>https://doi.org/10.59953/paperasia.v41i2b.430</w:t>
        </w:r>
      </w:hyperlink>
    </w:p>
    <w:p w14:paraId="24FCA46A" w14:textId="29192016" w:rsidR="00913F5D" w:rsidRPr="006054A4" w:rsidRDefault="00F902B5" w:rsidP="00DC07CF">
      <w:pPr>
        <w:pStyle w:val="3"/>
        <w:numPr>
          <w:ilvl w:val="0"/>
          <w:numId w:val="14"/>
        </w:numPr>
        <w:tabs>
          <w:tab w:val="left" w:pos="1134"/>
        </w:tabs>
        <w:spacing w:before="0" w:after="0" w:line="240" w:lineRule="auto"/>
        <w:ind w:left="0" w:firstLine="709"/>
        <w:jc w:val="both"/>
        <w:rPr>
          <w:rFonts w:ascii="Times New Roman" w:hAnsi="Times New Roman" w:cs="Times New Roman"/>
          <w:color w:val="505050"/>
        </w:rPr>
      </w:pPr>
      <w:hyperlink r:id="rId15" w:tooltip="Nuraddeen Nuhu" w:history="1">
        <w:r w:rsidR="00913F5D" w:rsidRPr="006054A4">
          <w:rPr>
            <w:rStyle w:val="ac"/>
            <w:rFonts w:ascii="Times New Roman" w:hAnsi="Times New Roman" w:cs="Times New Roman"/>
            <w:color w:val="auto"/>
            <w:u w:val="none"/>
          </w:rPr>
          <w:t>Nuhu, N.</w:t>
        </w:r>
      </w:hyperlink>
      <w:r w:rsidR="00913F5D" w:rsidRPr="006054A4">
        <w:rPr>
          <w:rFonts w:ascii="Times New Roman" w:hAnsi="Times New Roman" w:cs="Times New Roman"/>
          <w:color w:val="auto"/>
        </w:rPr>
        <w:t>, </w:t>
      </w:r>
      <w:hyperlink r:id="rId16" w:tooltip="Kevin Baird" w:history="1">
        <w:r w:rsidR="00913F5D" w:rsidRPr="006054A4">
          <w:rPr>
            <w:rStyle w:val="ac"/>
            <w:rFonts w:ascii="Times New Roman" w:hAnsi="Times New Roman" w:cs="Times New Roman"/>
            <w:color w:val="auto"/>
            <w:u w:val="none"/>
          </w:rPr>
          <w:t>Baird, K.</w:t>
        </w:r>
      </w:hyperlink>
      <w:r w:rsidR="00913F5D" w:rsidRPr="006054A4">
        <w:rPr>
          <w:rFonts w:ascii="Times New Roman" w:hAnsi="Times New Roman" w:cs="Times New Roman"/>
          <w:color w:val="auto"/>
        </w:rPr>
        <w:t> and </w:t>
      </w:r>
      <w:hyperlink r:id="rId17" w:tooltip="Sophia Xia Su" w:history="1">
        <w:r w:rsidR="00913F5D" w:rsidRPr="006054A4">
          <w:rPr>
            <w:rStyle w:val="ac"/>
            <w:rFonts w:ascii="Times New Roman" w:hAnsi="Times New Roman" w:cs="Times New Roman"/>
            <w:color w:val="auto"/>
            <w:u w:val="none"/>
          </w:rPr>
          <w:t>Su, S.X.</w:t>
        </w:r>
      </w:hyperlink>
      <w:r w:rsidR="00913F5D" w:rsidRPr="006054A4">
        <w:rPr>
          <w:rFonts w:ascii="Times New Roman" w:hAnsi="Times New Roman" w:cs="Times New Roman"/>
          <w:color w:val="auto"/>
        </w:rPr>
        <w:t xml:space="preserve"> (2025), </w:t>
      </w:r>
      <w:r w:rsidR="00DC07CF" w:rsidRPr="006054A4">
        <w:rPr>
          <w:rFonts w:ascii="Times New Roman" w:hAnsi="Times New Roman" w:cs="Times New Roman"/>
          <w:color w:val="auto"/>
        </w:rPr>
        <w:t>«</w:t>
      </w:r>
      <w:r w:rsidR="00913F5D" w:rsidRPr="006054A4">
        <w:rPr>
          <w:rFonts w:ascii="Times New Roman" w:hAnsi="Times New Roman" w:cs="Times New Roman"/>
          <w:color w:val="auto"/>
        </w:rPr>
        <w:t>The impact of strategic management accounting (SMA) facets on organisational performance: the mediating role of the use of SMA practices</w:t>
      </w:r>
      <w:r w:rsidR="00DC07CF" w:rsidRPr="006054A4">
        <w:rPr>
          <w:rFonts w:ascii="Times New Roman" w:hAnsi="Times New Roman" w:cs="Times New Roman"/>
          <w:color w:val="auto"/>
        </w:rPr>
        <w:t>»</w:t>
      </w:r>
      <w:r w:rsidR="00913F5D" w:rsidRPr="006054A4">
        <w:rPr>
          <w:rFonts w:ascii="Times New Roman" w:hAnsi="Times New Roman" w:cs="Times New Roman"/>
          <w:color w:val="auto"/>
        </w:rPr>
        <w:t>, </w:t>
      </w:r>
      <w:hyperlink r:id="rId18" w:history="1">
        <w:r w:rsidR="00913F5D" w:rsidRPr="006054A4">
          <w:rPr>
            <w:rStyle w:val="ac"/>
            <w:rFonts w:ascii="Times New Roman" w:hAnsi="Times New Roman" w:cs="Times New Roman"/>
            <w:color w:val="auto"/>
            <w:u w:val="none"/>
          </w:rPr>
          <w:t>Meditari Accountancy Research</w:t>
        </w:r>
      </w:hyperlink>
      <w:r w:rsidR="00913F5D" w:rsidRPr="006054A4">
        <w:rPr>
          <w:rFonts w:ascii="Times New Roman" w:hAnsi="Times New Roman" w:cs="Times New Roman"/>
          <w:color w:val="auto"/>
        </w:rPr>
        <w:t>,</w:t>
      </w:r>
      <w:r w:rsidR="00913F5D" w:rsidRPr="006054A4">
        <w:rPr>
          <w:rFonts w:ascii="Times New Roman" w:hAnsi="Times New Roman" w:cs="Times New Roman"/>
          <w:color w:val="505050"/>
        </w:rPr>
        <w:t xml:space="preserve"> Vol. 33 No. 1, pp. 247-271. </w:t>
      </w:r>
      <w:hyperlink r:id="rId19" w:tooltip="DOI: https://doi.org/10.1108/MEDAR-05-2024-2481" w:history="1">
        <w:r w:rsidR="00913F5D" w:rsidRPr="006054A4">
          <w:rPr>
            <w:rStyle w:val="ac"/>
            <w:rFonts w:ascii="Times New Roman" w:hAnsi="Times New Roman" w:cs="Times New Roman"/>
          </w:rPr>
          <w:t>https://doi.org/10.1108/MEDAR-05-2024-2481</w:t>
        </w:r>
      </w:hyperlink>
    </w:p>
    <w:p w14:paraId="0B3C42CA" w14:textId="67EF4C97" w:rsidR="00913F5D" w:rsidRPr="006054A4" w:rsidRDefault="00F902B5" w:rsidP="00DC07CF">
      <w:pPr>
        <w:pStyle w:val="3"/>
        <w:numPr>
          <w:ilvl w:val="0"/>
          <w:numId w:val="14"/>
        </w:numPr>
        <w:tabs>
          <w:tab w:val="left" w:pos="1134"/>
        </w:tabs>
        <w:spacing w:before="0" w:after="0" w:line="240" w:lineRule="auto"/>
        <w:ind w:left="0" w:firstLine="709"/>
        <w:jc w:val="both"/>
        <w:rPr>
          <w:rFonts w:ascii="Times New Roman" w:hAnsi="Times New Roman" w:cs="Times New Roman"/>
          <w:color w:val="505050"/>
        </w:rPr>
      </w:pPr>
      <w:hyperlink r:id="rId20" w:history="1">
        <w:r w:rsidR="00913F5D" w:rsidRPr="006054A4">
          <w:rPr>
            <w:rStyle w:val="ac"/>
            <w:rFonts w:ascii="Times New Roman" w:hAnsi="Times New Roman" w:cs="Times New Roman"/>
            <w:color w:val="auto"/>
            <w:u w:val="none"/>
          </w:rPr>
          <w:t>Kimberly J. Tribou</w:t>
        </w:r>
      </w:hyperlink>
      <w:r w:rsidR="00913F5D" w:rsidRPr="006054A4">
        <w:rPr>
          <w:rFonts w:ascii="Times New Roman" w:hAnsi="Times New Roman" w:cs="Times New Roman"/>
          <w:color w:val="auto"/>
        </w:rPr>
        <w:t xml:space="preserve">, </w:t>
      </w:r>
      <w:hyperlink r:id="rId21" w:history="1">
        <w:r w:rsidR="00913F5D" w:rsidRPr="006054A4">
          <w:rPr>
            <w:rStyle w:val="ac"/>
            <w:rFonts w:ascii="Times New Roman" w:hAnsi="Times New Roman" w:cs="Times New Roman"/>
            <w:color w:val="auto"/>
            <w:u w:val="none"/>
          </w:rPr>
          <w:t>Melinda Roberson</w:t>
        </w:r>
      </w:hyperlink>
      <w:r w:rsidR="00913F5D" w:rsidRPr="006054A4">
        <w:rPr>
          <w:rFonts w:ascii="Times New Roman" w:hAnsi="Times New Roman" w:cs="Times New Roman"/>
          <w:color w:val="auto"/>
        </w:rPr>
        <w:t xml:space="preserve">, </w:t>
      </w:r>
      <w:hyperlink r:id="rId22" w:history="1">
        <w:r w:rsidR="00913F5D" w:rsidRPr="006054A4">
          <w:rPr>
            <w:rStyle w:val="ac"/>
            <w:rFonts w:ascii="Times New Roman" w:hAnsi="Times New Roman" w:cs="Times New Roman"/>
            <w:color w:val="auto"/>
            <w:u w:val="none"/>
          </w:rPr>
          <w:t>Mandy Roberson</w:t>
        </w:r>
      </w:hyperlink>
      <w:r w:rsidR="00913F5D" w:rsidRPr="006054A4">
        <w:rPr>
          <w:rFonts w:ascii="Times New Roman" w:hAnsi="Times New Roman" w:cs="Times New Roman"/>
          <w:color w:val="auto"/>
        </w:rPr>
        <w:t xml:space="preserve">  (</w:t>
      </w:r>
      <w:r w:rsidR="00DC07CF" w:rsidRPr="006054A4">
        <w:rPr>
          <w:rFonts w:ascii="Times New Roman" w:hAnsi="Times New Roman" w:cs="Times New Roman"/>
          <w:color w:val="auto"/>
        </w:rPr>
        <w:t>2025</w:t>
      </w:r>
      <w:r w:rsidR="00913F5D" w:rsidRPr="006054A4">
        <w:rPr>
          <w:rFonts w:ascii="Times New Roman" w:hAnsi="Times New Roman" w:cs="Times New Roman"/>
          <w:color w:val="auto"/>
        </w:rPr>
        <w:t>)</w:t>
      </w:r>
      <w:hyperlink r:id="rId23" w:history="1">
        <w:r w:rsidR="00913F5D" w:rsidRPr="006054A4">
          <w:rPr>
            <w:rFonts w:ascii="Times New Roman" w:hAnsi="Times New Roman" w:cs="Times New Roman"/>
            <w:color w:val="auto"/>
          </w:rPr>
          <w:t xml:space="preserve"> «</w:t>
        </w:r>
        <w:r w:rsidR="00913F5D" w:rsidRPr="006054A4">
          <w:rPr>
            <w:rStyle w:val="typography-modulelvnit"/>
            <w:rFonts w:ascii="Times New Roman" w:hAnsi="Times New Roman" w:cs="Times New Roman"/>
            <w:color w:val="auto"/>
          </w:rPr>
          <w:t>A Risky Proposition: Setting Objectives and Assessing Business Environment Risks Using the Enterprise Risk Management Framework</w:t>
        </w:r>
      </w:hyperlink>
      <w:r w:rsidR="00913F5D" w:rsidRPr="006054A4">
        <w:rPr>
          <w:rFonts w:ascii="Times New Roman" w:hAnsi="Times New Roman" w:cs="Times New Roman"/>
          <w:color w:val="auto"/>
        </w:rPr>
        <w:t>», Issues in Accounting Education </w:t>
      </w:r>
      <w:r w:rsidR="00913F5D" w:rsidRPr="006054A4">
        <w:rPr>
          <w:rFonts w:ascii="Times New Roman" w:hAnsi="Times New Roman" w:cs="Times New Roman"/>
          <w:color w:val="505050"/>
        </w:rPr>
        <w:t xml:space="preserve">40 (1): 173–201., </w:t>
      </w:r>
      <w:hyperlink r:id="rId24" w:history="1">
        <w:r w:rsidR="00913F5D" w:rsidRPr="006054A4">
          <w:rPr>
            <w:rStyle w:val="ac"/>
            <w:rFonts w:ascii="Times New Roman" w:hAnsi="Times New Roman" w:cs="Times New Roman"/>
          </w:rPr>
          <w:t>https://doi.org/10.2308/ISSUES-2023-043</w:t>
        </w:r>
      </w:hyperlink>
    </w:p>
    <w:p w14:paraId="6C447850" w14:textId="77777777" w:rsidR="00CA147D" w:rsidRPr="00CA147D" w:rsidRDefault="00F902B5" w:rsidP="00CA147D">
      <w:pPr>
        <w:pStyle w:val="a7"/>
        <w:numPr>
          <w:ilvl w:val="0"/>
          <w:numId w:val="14"/>
        </w:numPr>
        <w:tabs>
          <w:tab w:val="left" w:pos="1134"/>
        </w:tabs>
        <w:spacing w:after="0" w:line="240" w:lineRule="auto"/>
        <w:ind w:left="0" w:firstLine="709"/>
        <w:jc w:val="both"/>
        <w:rPr>
          <w:rFonts w:ascii="Times New Roman" w:hAnsi="Times New Roman" w:cs="Times New Roman"/>
          <w:color w:val="505050"/>
          <w:sz w:val="28"/>
          <w:szCs w:val="28"/>
        </w:rPr>
      </w:pPr>
      <w:hyperlink r:id="rId25" w:tooltip="Ruchi Agarwal" w:history="1">
        <w:r w:rsidR="00913F5D" w:rsidRPr="006054A4">
          <w:rPr>
            <w:rStyle w:val="ac"/>
            <w:rFonts w:ascii="Times New Roman" w:hAnsi="Times New Roman" w:cs="Times New Roman"/>
            <w:color w:val="auto"/>
            <w:sz w:val="28"/>
            <w:szCs w:val="28"/>
            <w:u w:val="none"/>
          </w:rPr>
          <w:t>Agarwal, R.</w:t>
        </w:r>
      </w:hyperlink>
      <w:r w:rsidR="00913F5D" w:rsidRPr="006054A4">
        <w:rPr>
          <w:rFonts w:ascii="Times New Roman" w:hAnsi="Times New Roman" w:cs="Times New Roman"/>
          <w:sz w:val="28"/>
          <w:szCs w:val="28"/>
        </w:rPr>
        <w:t xml:space="preserve"> (2025), </w:t>
      </w:r>
      <w:r w:rsidR="00DC07CF" w:rsidRPr="006054A4">
        <w:rPr>
          <w:rFonts w:ascii="Times New Roman" w:hAnsi="Times New Roman" w:cs="Times New Roman"/>
          <w:sz w:val="28"/>
          <w:szCs w:val="28"/>
        </w:rPr>
        <w:t>«</w:t>
      </w:r>
      <w:r w:rsidR="00913F5D" w:rsidRPr="006054A4">
        <w:rPr>
          <w:rFonts w:ascii="Times New Roman" w:hAnsi="Times New Roman" w:cs="Times New Roman"/>
          <w:sz w:val="28"/>
          <w:szCs w:val="28"/>
        </w:rPr>
        <w:t>Enterprise risk management (ERM) adoption in developing and developed markets: a comparative study</w:t>
      </w:r>
      <w:r w:rsidR="00DC07CF" w:rsidRPr="006054A4">
        <w:rPr>
          <w:rFonts w:ascii="Times New Roman" w:hAnsi="Times New Roman" w:cs="Times New Roman"/>
          <w:sz w:val="28"/>
          <w:szCs w:val="28"/>
        </w:rPr>
        <w:t>»</w:t>
      </w:r>
      <w:r w:rsidR="00913F5D" w:rsidRPr="006054A4">
        <w:rPr>
          <w:rFonts w:ascii="Times New Roman" w:hAnsi="Times New Roman" w:cs="Times New Roman"/>
          <w:sz w:val="28"/>
          <w:szCs w:val="28"/>
        </w:rPr>
        <w:t>, </w:t>
      </w:r>
      <w:hyperlink r:id="rId26" w:history="1">
        <w:r w:rsidR="00913F5D" w:rsidRPr="006054A4">
          <w:rPr>
            <w:rStyle w:val="ac"/>
            <w:rFonts w:ascii="Times New Roman" w:hAnsi="Times New Roman" w:cs="Times New Roman"/>
            <w:color w:val="auto"/>
            <w:sz w:val="28"/>
            <w:szCs w:val="28"/>
            <w:u w:val="none"/>
          </w:rPr>
          <w:t>Journal of Accounting &amp; Organizational Change</w:t>
        </w:r>
      </w:hyperlink>
      <w:r w:rsidR="00913F5D" w:rsidRPr="006054A4">
        <w:rPr>
          <w:rFonts w:ascii="Times New Roman" w:hAnsi="Times New Roman" w:cs="Times New Roman"/>
          <w:sz w:val="28"/>
          <w:szCs w:val="28"/>
        </w:rPr>
        <w:t>, Vo</w:t>
      </w:r>
      <w:r w:rsidR="00913F5D" w:rsidRPr="006054A4">
        <w:rPr>
          <w:rFonts w:ascii="Times New Roman" w:hAnsi="Times New Roman" w:cs="Times New Roman"/>
          <w:color w:val="505050"/>
          <w:sz w:val="28"/>
          <w:szCs w:val="28"/>
        </w:rPr>
        <w:t>l. 21 No. 1, pp. 169-188. </w:t>
      </w:r>
      <w:hyperlink r:id="rId27" w:tooltip="DOI: https://doi.org/10.1108/JAOC-08-2022-0126" w:history="1">
        <w:r w:rsidR="00913F5D" w:rsidRPr="006054A4">
          <w:rPr>
            <w:rStyle w:val="ac"/>
            <w:rFonts w:ascii="Times New Roman" w:hAnsi="Times New Roman" w:cs="Times New Roman"/>
            <w:sz w:val="28"/>
            <w:szCs w:val="28"/>
          </w:rPr>
          <w:t>https://doi.org/10.1108/JAOC-08-2022-0126</w:t>
        </w:r>
      </w:hyperlink>
    </w:p>
    <w:p w14:paraId="3DD1C007" w14:textId="207965D6" w:rsidR="0086368D" w:rsidRPr="00CA147D" w:rsidRDefault="00F902B5" w:rsidP="00CA147D">
      <w:pPr>
        <w:pStyle w:val="a7"/>
        <w:numPr>
          <w:ilvl w:val="0"/>
          <w:numId w:val="14"/>
        </w:numPr>
        <w:tabs>
          <w:tab w:val="left" w:pos="1134"/>
        </w:tabs>
        <w:spacing w:after="0" w:line="240" w:lineRule="auto"/>
        <w:ind w:left="0" w:firstLine="709"/>
        <w:jc w:val="both"/>
        <w:rPr>
          <w:rFonts w:ascii="Times New Roman" w:hAnsi="Times New Roman" w:cs="Times New Roman"/>
          <w:color w:val="505050"/>
          <w:sz w:val="28"/>
          <w:szCs w:val="28"/>
        </w:rPr>
      </w:pPr>
      <w:hyperlink r:id="rId28" w:history="1">
        <w:r w:rsidR="005C07E3" w:rsidRPr="00CA147D">
          <w:rPr>
            <w:rStyle w:val="ac"/>
            <w:rFonts w:ascii="Times New Roman" w:hAnsi="Times New Roman" w:cs="Times New Roman"/>
            <w:sz w:val="28"/>
            <w:szCs w:val="28"/>
          </w:rPr>
          <w:t>Scopus - анализировать результаты поиска | Выполнен вход в систему</w:t>
        </w:r>
      </w:hyperlink>
    </w:p>
    <w:p w14:paraId="518D42D1" w14:textId="69B91546" w:rsidR="00CA147D" w:rsidRPr="00CA147D" w:rsidRDefault="00CA147D" w:rsidP="00CA147D">
      <w:pPr>
        <w:pStyle w:val="a7"/>
        <w:numPr>
          <w:ilvl w:val="0"/>
          <w:numId w:val="14"/>
        </w:numPr>
        <w:tabs>
          <w:tab w:val="left" w:pos="1134"/>
        </w:tabs>
        <w:spacing w:after="0" w:line="240" w:lineRule="auto"/>
        <w:ind w:left="0" w:firstLine="709"/>
        <w:jc w:val="both"/>
        <w:rPr>
          <w:rFonts w:ascii="Times New Roman" w:hAnsi="Times New Roman" w:cs="Times New Roman"/>
          <w:color w:val="505050"/>
          <w:sz w:val="28"/>
          <w:szCs w:val="28"/>
        </w:rPr>
      </w:pPr>
      <w:r w:rsidRPr="00CA147D">
        <w:rPr>
          <w:rFonts w:ascii="Times New Roman" w:hAnsi="Times New Roman" w:cs="Times New Roman"/>
          <w:sz w:val="28"/>
          <w:szCs w:val="28"/>
        </w:rPr>
        <w:t>VOSviewer бағдарламасы</w:t>
      </w:r>
      <w:r>
        <w:rPr>
          <w:rFonts w:ascii="Times New Roman" w:hAnsi="Times New Roman" w:cs="Times New Roman"/>
          <w:sz w:val="28"/>
          <w:szCs w:val="28"/>
        </w:rPr>
        <w:t>нда қалыптастырылған ақпарат.</w:t>
      </w:r>
    </w:p>
    <w:p w14:paraId="06EF81E0" w14:textId="477EF9C7" w:rsidR="002A2ACA" w:rsidRPr="006054A4" w:rsidRDefault="002A2ACA" w:rsidP="00955188">
      <w:pPr>
        <w:pStyle w:val="a7"/>
        <w:numPr>
          <w:ilvl w:val="0"/>
          <w:numId w:val="14"/>
        </w:numPr>
        <w:tabs>
          <w:tab w:val="left" w:pos="1134"/>
        </w:tabs>
        <w:spacing w:after="0" w:line="240" w:lineRule="auto"/>
        <w:ind w:left="0" w:firstLine="709"/>
        <w:jc w:val="both"/>
        <w:rPr>
          <w:rFonts w:ascii="Times New Roman" w:hAnsi="Times New Roman" w:cs="Times New Roman"/>
          <w:sz w:val="28"/>
          <w:szCs w:val="28"/>
        </w:rPr>
      </w:pPr>
      <w:r w:rsidRPr="00CA147D">
        <w:rPr>
          <w:rFonts w:ascii="Times New Roman" w:hAnsi="Times New Roman" w:cs="Times New Roman"/>
          <w:sz w:val="28"/>
          <w:szCs w:val="28"/>
        </w:rPr>
        <w:t>Яхваров, Е.К. Разработка классификации и системы показателей оценивания рискоустойчивости предприятий при достижении тактико технических требований в ходе выполнения гособоронзаказа / Е.К. Яхваров, Н.Р. Гоцкая, Т.В. Степанова, М.Б. Бесланова, Э.В. Коровин // Проблемы экономики и юридической практики. - 2019. – №5. – 0,5 п.л.</w:t>
      </w:r>
    </w:p>
    <w:sectPr w:rsidR="002A2ACA" w:rsidRPr="006054A4" w:rsidSect="00CD684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F5CF110"/>
    <w:lvl w:ilvl="0">
      <w:numFmt w:val="bullet"/>
      <w:lvlText w:val="*"/>
      <w:lvlJc w:val="left"/>
    </w:lvl>
  </w:abstractNum>
  <w:abstractNum w:abstractNumId="1" w15:restartNumberingAfterBreak="0">
    <w:nsid w:val="009751CA"/>
    <w:multiLevelType w:val="multilevel"/>
    <w:tmpl w:val="D3D2A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62395"/>
    <w:multiLevelType w:val="hybridMultilevel"/>
    <w:tmpl w:val="3AB245D4"/>
    <w:lvl w:ilvl="0" w:tplc="44B0A33E">
      <w:start w:val="1"/>
      <w:numFmt w:val="decimal"/>
      <w:lvlText w:val="%1."/>
      <w:lvlJc w:val="left"/>
      <w:pPr>
        <w:ind w:left="1069" w:hanging="360"/>
      </w:pPr>
      <w:rPr>
        <w:rFonts w:cstheme="minorBidi"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08974766"/>
    <w:multiLevelType w:val="multilevel"/>
    <w:tmpl w:val="D344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44C43"/>
    <w:multiLevelType w:val="multilevel"/>
    <w:tmpl w:val="DEE4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B704AA"/>
    <w:multiLevelType w:val="multilevel"/>
    <w:tmpl w:val="51A8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AF60F0"/>
    <w:multiLevelType w:val="multilevel"/>
    <w:tmpl w:val="508E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FB5AFF"/>
    <w:multiLevelType w:val="multilevel"/>
    <w:tmpl w:val="5A60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DC6A00"/>
    <w:multiLevelType w:val="multilevel"/>
    <w:tmpl w:val="AACC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214E89"/>
    <w:multiLevelType w:val="hybridMultilevel"/>
    <w:tmpl w:val="67548C96"/>
    <w:lvl w:ilvl="0" w:tplc="BC2C67BE">
      <w:start w:val="338"/>
      <w:numFmt w:val="bullet"/>
      <w:lvlText w:val="-"/>
      <w:lvlJc w:val="left"/>
      <w:pPr>
        <w:ind w:left="1069" w:hanging="360"/>
      </w:pPr>
      <w:rPr>
        <w:rFonts w:ascii="Aptos" w:eastAsiaTheme="minorHAnsi" w:hAnsi="Aptos" w:cstheme="minorBidi" w:hint="default"/>
        <w:b/>
        <w:i/>
        <w:sz w:val="22"/>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0" w15:restartNumberingAfterBreak="0">
    <w:nsid w:val="46073432"/>
    <w:multiLevelType w:val="multilevel"/>
    <w:tmpl w:val="3F60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B47F68"/>
    <w:multiLevelType w:val="multilevel"/>
    <w:tmpl w:val="32A2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5A15B3"/>
    <w:multiLevelType w:val="multilevel"/>
    <w:tmpl w:val="49083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B23609"/>
    <w:multiLevelType w:val="multilevel"/>
    <w:tmpl w:val="4790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8B3284"/>
    <w:multiLevelType w:val="multilevel"/>
    <w:tmpl w:val="6BE4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BE4633"/>
    <w:multiLevelType w:val="multilevel"/>
    <w:tmpl w:val="BF26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916E65"/>
    <w:multiLevelType w:val="multilevel"/>
    <w:tmpl w:val="C7C2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16"/>
  </w:num>
  <w:num w:numId="4">
    <w:abstractNumId w:val="4"/>
  </w:num>
  <w:num w:numId="5">
    <w:abstractNumId w:val="8"/>
  </w:num>
  <w:num w:numId="6">
    <w:abstractNumId w:val="3"/>
  </w:num>
  <w:num w:numId="7">
    <w:abstractNumId w:val="14"/>
  </w:num>
  <w:num w:numId="8">
    <w:abstractNumId w:val="15"/>
  </w:num>
  <w:num w:numId="9">
    <w:abstractNumId w:val="13"/>
  </w:num>
  <w:num w:numId="10">
    <w:abstractNumId w:val="6"/>
  </w:num>
  <w:num w:numId="11">
    <w:abstractNumId w:val="5"/>
  </w:num>
  <w:num w:numId="12">
    <w:abstractNumId w:val="7"/>
  </w:num>
  <w:num w:numId="13">
    <w:abstractNumId w:val="9"/>
  </w:num>
  <w:num w:numId="14">
    <w:abstractNumId w:val="2"/>
  </w:num>
  <w:num w:numId="15">
    <w:abstractNumId w:val="12"/>
  </w:num>
  <w:num w:numId="16">
    <w:abstractNumId w:val="0"/>
    <w:lvlOverride w:ilvl="0">
      <w:lvl w:ilvl="0">
        <w:numFmt w:val="bullet"/>
        <w:lvlText w:val="-"/>
        <w:legacy w:legacy="1" w:legacySpace="0" w:legacyIndent="254"/>
        <w:lvlJc w:val="left"/>
        <w:rPr>
          <w:rFonts w:ascii="Times New Roman" w:hAnsi="Times New Roman" w:hint="default"/>
        </w:rPr>
      </w:lvl>
    </w:lvlOverride>
  </w:num>
  <w:num w:numId="17">
    <w:abstractNumId w:val="0"/>
    <w:lvlOverride w:ilvl="0">
      <w:lvl w:ilvl="0">
        <w:numFmt w:val="bullet"/>
        <w:lvlText w:val="-"/>
        <w:legacy w:legacy="1" w:legacySpace="0" w:legacyIndent="182"/>
        <w:lvlJc w:val="left"/>
        <w:rPr>
          <w:rFonts w:ascii="Times New Roman" w:hAnsi="Times New Roman" w:hint="default"/>
        </w:rPr>
      </w:lvl>
    </w:lvlOverride>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981"/>
    <w:rsid w:val="00025B13"/>
    <w:rsid w:val="0003747B"/>
    <w:rsid w:val="0007500F"/>
    <w:rsid w:val="00080FC5"/>
    <w:rsid w:val="000C1321"/>
    <w:rsid w:val="000C161C"/>
    <w:rsid w:val="000D3513"/>
    <w:rsid w:val="00110FEF"/>
    <w:rsid w:val="00113CC1"/>
    <w:rsid w:val="001532DE"/>
    <w:rsid w:val="00193690"/>
    <w:rsid w:val="001C0DFE"/>
    <w:rsid w:val="001D19EF"/>
    <w:rsid w:val="001F214C"/>
    <w:rsid w:val="002A2ACA"/>
    <w:rsid w:val="002D09C7"/>
    <w:rsid w:val="00301F70"/>
    <w:rsid w:val="003736B3"/>
    <w:rsid w:val="00381D47"/>
    <w:rsid w:val="003A7D1D"/>
    <w:rsid w:val="003E35FE"/>
    <w:rsid w:val="003E412F"/>
    <w:rsid w:val="00401AEF"/>
    <w:rsid w:val="0042198E"/>
    <w:rsid w:val="00430F65"/>
    <w:rsid w:val="00484B29"/>
    <w:rsid w:val="004B06B9"/>
    <w:rsid w:val="004B1C3F"/>
    <w:rsid w:val="004C1216"/>
    <w:rsid w:val="004D1AE7"/>
    <w:rsid w:val="004E510A"/>
    <w:rsid w:val="0051287F"/>
    <w:rsid w:val="00513D8F"/>
    <w:rsid w:val="00544D30"/>
    <w:rsid w:val="005738EF"/>
    <w:rsid w:val="00584B89"/>
    <w:rsid w:val="00595027"/>
    <w:rsid w:val="005A1FCC"/>
    <w:rsid w:val="005B34A3"/>
    <w:rsid w:val="005C07E3"/>
    <w:rsid w:val="005C548E"/>
    <w:rsid w:val="005E77F4"/>
    <w:rsid w:val="005F099E"/>
    <w:rsid w:val="006054A4"/>
    <w:rsid w:val="00624928"/>
    <w:rsid w:val="00690522"/>
    <w:rsid w:val="006B5AA6"/>
    <w:rsid w:val="00711B3D"/>
    <w:rsid w:val="007224EF"/>
    <w:rsid w:val="0075493B"/>
    <w:rsid w:val="00792F34"/>
    <w:rsid w:val="007A0BCE"/>
    <w:rsid w:val="007A16C0"/>
    <w:rsid w:val="007A400E"/>
    <w:rsid w:val="007F28BF"/>
    <w:rsid w:val="0082226E"/>
    <w:rsid w:val="0082695C"/>
    <w:rsid w:val="00840451"/>
    <w:rsid w:val="00861920"/>
    <w:rsid w:val="00862249"/>
    <w:rsid w:val="0086368D"/>
    <w:rsid w:val="00887A24"/>
    <w:rsid w:val="00894307"/>
    <w:rsid w:val="008D1707"/>
    <w:rsid w:val="00913F5D"/>
    <w:rsid w:val="009152DB"/>
    <w:rsid w:val="009847BC"/>
    <w:rsid w:val="00991CBF"/>
    <w:rsid w:val="00996803"/>
    <w:rsid w:val="009D1DD9"/>
    <w:rsid w:val="009E10FD"/>
    <w:rsid w:val="00A10878"/>
    <w:rsid w:val="00A11B61"/>
    <w:rsid w:val="00A163D3"/>
    <w:rsid w:val="00A237CE"/>
    <w:rsid w:val="00A514FF"/>
    <w:rsid w:val="00A724FC"/>
    <w:rsid w:val="00A80E5B"/>
    <w:rsid w:val="00A87101"/>
    <w:rsid w:val="00AA5479"/>
    <w:rsid w:val="00AA547E"/>
    <w:rsid w:val="00AB51DE"/>
    <w:rsid w:val="00AB5E74"/>
    <w:rsid w:val="00AC0805"/>
    <w:rsid w:val="00AE0F55"/>
    <w:rsid w:val="00AE7750"/>
    <w:rsid w:val="00B105B4"/>
    <w:rsid w:val="00B11793"/>
    <w:rsid w:val="00B26D16"/>
    <w:rsid w:val="00B315CC"/>
    <w:rsid w:val="00B60CDF"/>
    <w:rsid w:val="00B70AE2"/>
    <w:rsid w:val="00B93459"/>
    <w:rsid w:val="00BA06F4"/>
    <w:rsid w:val="00BB2ED1"/>
    <w:rsid w:val="00BB69D3"/>
    <w:rsid w:val="00BE3ADE"/>
    <w:rsid w:val="00BE4D83"/>
    <w:rsid w:val="00BF6961"/>
    <w:rsid w:val="00C12FA6"/>
    <w:rsid w:val="00C26977"/>
    <w:rsid w:val="00C369C3"/>
    <w:rsid w:val="00CA147D"/>
    <w:rsid w:val="00CA7645"/>
    <w:rsid w:val="00CD4329"/>
    <w:rsid w:val="00CD684E"/>
    <w:rsid w:val="00CE3320"/>
    <w:rsid w:val="00D11D90"/>
    <w:rsid w:val="00D13EB5"/>
    <w:rsid w:val="00D15F52"/>
    <w:rsid w:val="00D20A0A"/>
    <w:rsid w:val="00D21FC5"/>
    <w:rsid w:val="00D25E70"/>
    <w:rsid w:val="00D70634"/>
    <w:rsid w:val="00D8040A"/>
    <w:rsid w:val="00DB14E0"/>
    <w:rsid w:val="00DC07CF"/>
    <w:rsid w:val="00DD28FA"/>
    <w:rsid w:val="00DD67B0"/>
    <w:rsid w:val="00DE5389"/>
    <w:rsid w:val="00E81AC1"/>
    <w:rsid w:val="00E87553"/>
    <w:rsid w:val="00EA5A1D"/>
    <w:rsid w:val="00ED7949"/>
    <w:rsid w:val="00EE1A99"/>
    <w:rsid w:val="00EF036B"/>
    <w:rsid w:val="00EF0981"/>
    <w:rsid w:val="00F04A8F"/>
    <w:rsid w:val="00F12D78"/>
    <w:rsid w:val="00F13BB3"/>
    <w:rsid w:val="00F27936"/>
    <w:rsid w:val="00F50188"/>
    <w:rsid w:val="00F84BF7"/>
    <w:rsid w:val="00F902B5"/>
    <w:rsid w:val="00FB46AE"/>
    <w:rsid w:val="00FC7FD5"/>
    <w:rsid w:val="00FD5AE5"/>
    <w:rsid w:val="00FF3B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57353"/>
  <w15:chartTrackingRefBased/>
  <w15:docId w15:val="{457CD819-B8F1-4C63-8E01-4CF73A268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FC5"/>
    <w:rPr>
      <w:lang w:val="kk-KZ"/>
    </w:rPr>
  </w:style>
  <w:style w:type="paragraph" w:styleId="1">
    <w:name w:val="heading 1"/>
    <w:basedOn w:val="a"/>
    <w:next w:val="a"/>
    <w:link w:val="10"/>
    <w:uiPriority w:val="9"/>
    <w:qFormat/>
    <w:rsid w:val="00EF09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F09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F098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F098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F09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F09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F09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F09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F09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0981"/>
    <w:rPr>
      <w:rFonts w:asciiTheme="majorHAnsi" w:eastAsiaTheme="majorEastAsia" w:hAnsiTheme="majorHAnsi" w:cstheme="majorBidi"/>
      <w:color w:val="0F4761" w:themeColor="accent1" w:themeShade="BF"/>
      <w:sz w:val="40"/>
      <w:szCs w:val="40"/>
      <w:lang w:val="kk-KZ"/>
    </w:rPr>
  </w:style>
  <w:style w:type="character" w:customStyle="1" w:styleId="20">
    <w:name w:val="Заголовок 2 Знак"/>
    <w:basedOn w:val="a0"/>
    <w:link w:val="2"/>
    <w:uiPriority w:val="9"/>
    <w:semiHidden/>
    <w:rsid w:val="00EF0981"/>
    <w:rPr>
      <w:rFonts w:asciiTheme="majorHAnsi" w:eastAsiaTheme="majorEastAsia" w:hAnsiTheme="majorHAnsi" w:cstheme="majorBidi"/>
      <w:color w:val="0F4761" w:themeColor="accent1" w:themeShade="BF"/>
      <w:sz w:val="32"/>
      <w:szCs w:val="32"/>
      <w:lang w:val="kk-KZ"/>
    </w:rPr>
  </w:style>
  <w:style w:type="character" w:customStyle="1" w:styleId="30">
    <w:name w:val="Заголовок 3 Знак"/>
    <w:basedOn w:val="a0"/>
    <w:link w:val="3"/>
    <w:uiPriority w:val="9"/>
    <w:rsid w:val="00EF0981"/>
    <w:rPr>
      <w:rFonts w:eastAsiaTheme="majorEastAsia" w:cstheme="majorBidi"/>
      <w:color w:val="0F4761" w:themeColor="accent1" w:themeShade="BF"/>
      <w:sz w:val="28"/>
      <w:szCs w:val="28"/>
      <w:lang w:val="kk-KZ"/>
    </w:rPr>
  </w:style>
  <w:style w:type="character" w:customStyle="1" w:styleId="40">
    <w:name w:val="Заголовок 4 Знак"/>
    <w:basedOn w:val="a0"/>
    <w:link w:val="4"/>
    <w:uiPriority w:val="9"/>
    <w:semiHidden/>
    <w:rsid w:val="00EF0981"/>
    <w:rPr>
      <w:rFonts w:eastAsiaTheme="majorEastAsia" w:cstheme="majorBidi"/>
      <w:i/>
      <w:iCs/>
      <w:color w:val="0F4761" w:themeColor="accent1" w:themeShade="BF"/>
      <w:lang w:val="kk-KZ"/>
    </w:rPr>
  </w:style>
  <w:style w:type="character" w:customStyle="1" w:styleId="50">
    <w:name w:val="Заголовок 5 Знак"/>
    <w:basedOn w:val="a0"/>
    <w:link w:val="5"/>
    <w:uiPriority w:val="9"/>
    <w:semiHidden/>
    <w:rsid w:val="00EF0981"/>
    <w:rPr>
      <w:rFonts w:eastAsiaTheme="majorEastAsia" w:cstheme="majorBidi"/>
      <w:color w:val="0F4761" w:themeColor="accent1" w:themeShade="BF"/>
      <w:lang w:val="kk-KZ"/>
    </w:rPr>
  </w:style>
  <w:style w:type="character" w:customStyle="1" w:styleId="60">
    <w:name w:val="Заголовок 6 Знак"/>
    <w:basedOn w:val="a0"/>
    <w:link w:val="6"/>
    <w:uiPriority w:val="9"/>
    <w:semiHidden/>
    <w:rsid w:val="00EF0981"/>
    <w:rPr>
      <w:rFonts w:eastAsiaTheme="majorEastAsia" w:cstheme="majorBidi"/>
      <w:i/>
      <w:iCs/>
      <w:color w:val="595959" w:themeColor="text1" w:themeTint="A6"/>
      <w:lang w:val="kk-KZ"/>
    </w:rPr>
  </w:style>
  <w:style w:type="character" w:customStyle="1" w:styleId="70">
    <w:name w:val="Заголовок 7 Знак"/>
    <w:basedOn w:val="a0"/>
    <w:link w:val="7"/>
    <w:uiPriority w:val="9"/>
    <w:semiHidden/>
    <w:rsid w:val="00EF0981"/>
    <w:rPr>
      <w:rFonts w:eastAsiaTheme="majorEastAsia" w:cstheme="majorBidi"/>
      <w:color w:val="595959" w:themeColor="text1" w:themeTint="A6"/>
      <w:lang w:val="kk-KZ"/>
    </w:rPr>
  </w:style>
  <w:style w:type="character" w:customStyle="1" w:styleId="80">
    <w:name w:val="Заголовок 8 Знак"/>
    <w:basedOn w:val="a0"/>
    <w:link w:val="8"/>
    <w:uiPriority w:val="9"/>
    <w:semiHidden/>
    <w:rsid w:val="00EF0981"/>
    <w:rPr>
      <w:rFonts w:eastAsiaTheme="majorEastAsia" w:cstheme="majorBidi"/>
      <w:i/>
      <w:iCs/>
      <w:color w:val="272727" w:themeColor="text1" w:themeTint="D8"/>
      <w:lang w:val="kk-KZ"/>
    </w:rPr>
  </w:style>
  <w:style w:type="character" w:customStyle="1" w:styleId="90">
    <w:name w:val="Заголовок 9 Знак"/>
    <w:basedOn w:val="a0"/>
    <w:link w:val="9"/>
    <w:uiPriority w:val="9"/>
    <w:semiHidden/>
    <w:rsid w:val="00EF0981"/>
    <w:rPr>
      <w:rFonts w:eastAsiaTheme="majorEastAsia" w:cstheme="majorBidi"/>
      <w:color w:val="272727" w:themeColor="text1" w:themeTint="D8"/>
      <w:lang w:val="kk-KZ"/>
    </w:rPr>
  </w:style>
  <w:style w:type="paragraph" w:styleId="a3">
    <w:name w:val="Title"/>
    <w:basedOn w:val="a"/>
    <w:next w:val="a"/>
    <w:link w:val="a4"/>
    <w:uiPriority w:val="10"/>
    <w:qFormat/>
    <w:rsid w:val="00EF09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F0981"/>
    <w:rPr>
      <w:rFonts w:asciiTheme="majorHAnsi" w:eastAsiaTheme="majorEastAsia" w:hAnsiTheme="majorHAnsi" w:cstheme="majorBidi"/>
      <w:spacing w:val="-10"/>
      <w:kern w:val="28"/>
      <w:sz w:val="56"/>
      <w:szCs w:val="56"/>
      <w:lang w:val="kk-KZ"/>
    </w:rPr>
  </w:style>
  <w:style w:type="paragraph" w:styleId="a5">
    <w:name w:val="Subtitle"/>
    <w:basedOn w:val="a"/>
    <w:next w:val="a"/>
    <w:link w:val="a6"/>
    <w:uiPriority w:val="11"/>
    <w:qFormat/>
    <w:rsid w:val="00EF09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F0981"/>
    <w:rPr>
      <w:rFonts w:eastAsiaTheme="majorEastAsia" w:cstheme="majorBidi"/>
      <w:color w:val="595959" w:themeColor="text1" w:themeTint="A6"/>
      <w:spacing w:val="15"/>
      <w:sz w:val="28"/>
      <w:szCs w:val="28"/>
      <w:lang w:val="kk-KZ"/>
    </w:rPr>
  </w:style>
  <w:style w:type="paragraph" w:styleId="21">
    <w:name w:val="Quote"/>
    <w:basedOn w:val="a"/>
    <w:next w:val="a"/>
    <w:link w:val="22"/>
    <w:uiPriority w:val="29"/>
    <w:qFormat/>
    <w:rsid w:val="00EF0981"/>
    <w:pPr>
      <w:spacing w:before="160"/>
      <w:jc w:val="center"/>
    </w:pPr>
    <w:rPr>
      <w:i/>
      <w:iCs/>
      <w:color w:val="404040" w:themeColor="text1" w:themeTint="BF"/>
    </w:rPr>
  </w:style>
  <w:style w:type="character" w:customStyle="1" w:styleId="22">
    <w:name w:val="Цитата 2 Знак"/>
    <w:basedOn w:val="a0"/>
    <w:link w:val="21"/>
    <w:uiPriority w:val="29"/>
    <w:rsid w:val="00EF0981"/>
    <w:rPr>
      <w:i/>
      <w:iCs/>
      <w:color w:val="404040" w:themeColor="text1" w:themeTint="BF"/>
      <w:lang w:val="kk-KZ"/>
    </w:rPr>
  </w:style>
  <w:style w:type="paragraph" w:styleId="a7">
    <w:name w:val="List Paragraph"/>
    <w:basedOn w:val="a"/>
    <w:uiPriority w:val="34"/>
    <w:qFormat/>
    <w:rsid w:val="00EF0981"/>
    <w:pPr>
      <w:ind w:left="720"/>
      <w:contextualSpacing/>
    </w:pPr>
  </w:style>
  <w:style w:type="character" w:styleId="a8">
    <w:name w:val="Intense Emphasis"/>
    <w:basedOn w:val="a0"/>
    <w:uiPriority w:val="21"/>
    <w:qFormat/>
    <w:rsid w:val="00EF0981"/>
    <w:rPr>
      <w:i/>
      <w:iCs/>
      <w:color w:val="0F4761" w:themeColor="accent1" w:themeShade="BF"/>
    </w:rPr>
  </w:style>
  <w:style w:type="paragraph" w:styleId="a9">
    <w:name w:val="Intense Quote"/>
    <w:basedOn w:val="a"/>
    <w:next w:val="a"/>
    <w:link w:val="aa"/>
    <w:uiPriority w:val="30"/>
    <w:qFormat/>
    <w:rsid w:val="00EF09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F0981"/>
    <w:rPr>
      <w:i/>
      <w:iCs/>
      <w:color w:val="0F4761" w:themeColor="accent1" w:themeShade="BF"/>
      <w:lang w:val="kk-KZ"/>
    </w:rPr>
  </w:style>
  <w:style w:type="character" w:styleId="ab">
    <w:name w:val="Intense Reference"/>
    <w:basedOn w:val="a0"/>
    <w:uiPriority w:val="32"/>
    <w:qFormat/>
    <w:rsid w:val="00EF0981"/>
    <w:rPr>
      <w:b/>
      <w:bCs/>
      <w:smallCaps/>
      <w:color w:val="0F4761" w:themeColor="accent1" w:themeShade="BF"/>
      <w:spacing w:val="5"/>
    </w:rPr>
  </w:style>
  <w:style w:type="character" w:customStyle="1" w:styleId="authors-moduleumr1o">
    <w:name w:val="authors-module__umr1o"/>
    <w:basedOn w:val="a0"/>
    <w:rsid w:val="00BF6961"/>
  </w:style>
  <w:style w:type="character" w:customStyle="1" w:styleId="typography-modulelvnit">
    <w:name w:val="typography-module__lvnit"/>
    <w:basedOn w:val="a0"/>
    <w:rsid w:val="00BF6961"/>
  </w:style>
  <w:style w:type="character" w:styleId="ac">
    <w:name w:val="Hyperlink"/>
    <w:basedOn w:val="a0"/>
    <w:uiPriority w:val="99"/>
    <w:unhideWhenUsed/>
    <w:rsid w:val="007A0BCE"/>
    <w:rPr>
      <w:color w:val="467886" w:themeColor="hyperlink"/>
      <w:u w:val="single"/>
    </w:rPr>
  </w:style>
  <w:style w:type="character" w:customStyle="1" w:styleId="11">
    <w:name w:val="Неразрешенное упоминание1"/>
    <w:basedOn w:val="a0"/>
    <w:uiPriority w:val="99"/>
    <w:semiHidden/>
    <w:unhideWhenUsed/>
    <w:rsid w:val="007A0BCE"/>
    <w:rPr>
      <w:color w:val="605E5C"/>
      <w:shd w:val="clear" w:color="auto" w:fill="E1DFDD"/>
    </w:rPr>
  </w:style>
  <w:style w:type="character" w:customStyle="1" w:styleId="tlid-translation">
    <w:name w:val="tlid-translation"/>
    <w:basedOn w:val="a0"/>
    <w:rsid w:val="009D1DD9"/>
  </w:style>
  <w:style w:type="table" w:styleId="ad">
    <w:name w:val="Table Grid"/>
    <w:basedOn w:val="a1"/>
    <w:uiPriority w:val="39"/>
    <w:rsid w:val="001F2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9847B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23">
    <w:name w:val="Неразрешенное упоминание2"/>
    <w:basedOn w:val="a0"/>
    <w:uiPriority w:val="99"/>
    <w:rsid w:val="009847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6960">
      <w:bodyDiv w:val="1"/>
      <w:marLeft w:val="0"/>
      <w:marRight w:val="0"/>
      <w:marTop w:val="0"/>
      <w:marBottom w:val="0"/>
      <w:divBdr>
        <w:top w:val="none" w:sz="0" w:space="0" w:color="auto"/>
        <w:left w:val="none" w:sz="0" w:space="0" w:color="auto"/>
        <w:bottom w:val="none" w:sz="0" w:space="0" w:color="auto"/>
        <w:right w:val="none" w:sz="0" w:space="0" w:color="auto"/>
      </w:divBdr>
    </w:div>
    <w:div w:id="48381099">
      <w:bodyDiv w:val="1"/>
      <w:marLeft w:val="0"/>
      <w:marRight w:val="0"/>
      <w:marTop w:val="0"/>
      <w:marBottom w:val="0"/>
      <w:divBdr>
        <w:top w:val="none" w:sz="0" w:space="0" w:color="auto"/>
        <w:left w:val="none" w:sz="0" w:space="0" w:color="auto"/>
        <w:bottom w:val="none" w:sz="0" w:space="0" w:color="auto"/>
        <w:right w:val="none" w:sz="0" w:space="0" w:color="auto"/>
      </w:divBdr>
    </w:div>
    <w:div w:id="90005677">
      <w:bodyDiv w:val="1"/>
      <w:marLeft w:val="0"/>
      <w:marRight w:val="0"/>
      <w:marTop w:val="0"/>
      <w:marBottom w:val="0"/>
      <w:divBdr>
        <w:top w:val="none" w:sz="0" w:space="0" w:color="auto"/>
        <w:left w:val="none" w:sz="0" w:space="0" w:color="auto"/>
        <w:bottom w:val="none" w:sz="0" w:space="0" w:color="auto"/>
        <w:right w:val="none" w:sz="0" w:space="0" w:color="auto"/>
      </w:divBdr>
      <w:divsChild>
        <w:div w:id="1908221697">
          <w:marLeft w:val="0"/>
          <w:marRight w:val="0"/>
          <w:marTop w:val="0"/>
          <w:marBottom w:val="0"/>
          <w:divBdr>
            <w:top w:val="none" w:sz="0" w:space="0" w:color="auto"/>
            <w:left w:val="none" w:sz="0" w:space="0" w:color="auto"/>
            <w:bottom w:val="none" w:sz="0" w:space="0" w:color="auto"/>
            <w:right w:val="none" w:sz="0" w:space="0" w:color="auto"/>
          </w:divBdr>
          <w:divsChild>
            <w:div w:id="11592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5999">
      <w:bodyDiv w:val="1"/>
      <w:marLeft w:val="0"/>
      <w:marRight w:val="0"/>
      <w:marTop w:val="0"/>
      <w:marBottom w:val="0"/>
      <w:divBdr>
        <w:top w:val="none" w:sz="0" w:space="0" w:color="auto"/>
        <w:left w:val="none" w:sz="0" w:space="0" w:color="auto"/>
        <w:bottom w:val="none" w:sz="0" w:space="0" w:color="auto"/>
        <w:right w:val="none" w:sz="0" w:space="0" w:color="auto"/>
      </w:divBdr>
      <w:divsChild>
        <w:div w:id="7415239">
          <w:marLeft w:val="0"/>
          <w:marRight w:val="0"/>
          <w:marTop w:val="0"/>
          <w:marBottom w:val="0"/>
          <w:divBdr>
            <w:top w:val="none" w:sz="0" w:space="0" w:color="auto"/>
            <w:left w:val="none" w:sz="0" w:space="0" w:color="auto"/>
            <w:bottom w:val="none" w:sz="0" w:space="0" w:color="auto"/>
            <w:right w:val="none" w:sz="0" w:space="0" w:color="auto"/>
          </w:divBdr>
          <w:divsChild>
            <w:div w:id="843059581">
              <w:marLeft w:val="0"/>
              <w:marRight w:val="0"/>
              <w:marTop w:val="0"/>
              <w:marBottom w:val="0"/>
              <w:divBdr>
                <w:top w:val="none" w:sz="0" w:space="0" w:color="auto"/>
                <w:left w:val="none" w:sz="0" w:space="0" w:color="auto"/>
                <w:bottom w:val="none" w:sz="0" w:space="0" w:color="auto"/>
                <w:right w:val="none" w:sz="0" w:space="0" w:color="auto"/>
              </w:divBdr>
            </w:div>
          </w:divsChild>
        </w:div>
        <w:div w:id="1118450005">
          <w:marLeft w:val="0"/>
          <w:marRight w:val="0"/>
          <w:marTop w:val="0"/>
          <w:marBottom w:val="0"/>
          <w:divBdr>
            <w:top w:val="none" w:sz="0" w:space="0" w:color="auto"/>
            <w:left w:val="none" w:sz="0" w:space="0" w:color="auto"/>
            <w:bottom w:val="none" w:sz="0" w:space="0" w:color="auto"/>
            <w:right w:val="none" w:sz="0" w:space="0" w:color="auto"/>
          </w:divBdr>
          <w:divsChild>
            <w:div w:id="14618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1004">
      <w:bodyDiv w:val="1"/>
      <w:marLeft w:val="0"/>
      <w:marRight w:val="0"/>
      <w:marTop w:val="0"/>
      <w:marBottom w:val="0"/>
      <w:divBdr>
        <w:top w:val="none" w:sz="0" w:space="0" w:color="auto"/>
        <w:left w:val="none" w:sz="0" w:space="0" w:color="auto"/>
        <w:bottom w:val="none" w:sz="0" w:space="0" w:color="auto"/>
        <w:right w:val="none" w:sz="0" w:space="0" w:color="auto"/>
      </w:divBdr>
    </w:div>
    <w:div w:id="159152734">
      <w:bodyDiv w:val="1"/>
      <w:marLeft w:val="0"/>
      <w:marRight w:val="0"/>
      <w:marTop w:val="0"/>
      <w:marBottom w:val="0"/>
      <w:divBdr>
        <w:top w:val="none" w:sz="0" w:space="0" w:color="auto"/>
        <w:left w:val="none" w:sz="0" w:space="0" w:color="auto"/>
        <w:bottom w:val="none" w:sz="0" w:space="0" w:color="auto"/>
        <w:right w:val="none" w:sz="0" w:space="0" w:color="auto"/>
      </w:divBdr>
      <w:divsChild>
        <w:div w:id="506018759">
          <w:marLeft w:val="0"/>
          <w:marRight w:val="0"/>
          <w:marTop w:val="0"/>
          <w:marBottom w:val="0"/>
          <w:divBdr>
            <w:top w:val="none" w:sz="0" w:space="0" w:color="auto"/>
            <w:left w:val="none" w:sz="0" w:space="0" w:color="auto"/>
            <w:bottom w:val="none" w:sz="0" w:space="0" w:color="auto"/>
            <w:right w:val="none" w:sz="0" w:space="0" w:color="auto"/>
          </w:divBdr>
          <w:divsChild>
            <w:div w:id="432552441">
              <w:marLeft w:val="0"/>
              <w:marRight w:val="0"/>
              <w:marTop w:val="0"/>
              <w:marBottom w:val="0"/>
              <w:divBdr>
                <w:top w:val="none" w:sz="0" w:space="0" w:color="auto"/>
                <w:left w:val="none" w:sz="0" w:space="0" w:color="auto"/>
                <w:bottom w:val="none" w:sz="0" w:space="0" w:color="auto"/>
                <w:right w:val="none" w:sz="0" w:space="0" w:color="auto"/>
              </w:divBdr>
            </w:div>
          </w:divsChild>
        </w:div>
        <w:div w:id="1050224189">
          <w:marLeft w:val="0"/>
          <w:marRight w:val="0"/>
          <w:marTop w:val="0"/>
          <w:marBottom w:val="0"/>
          <w:divBdr>
            <w:top w:val="none" w:sz="0" w:space="0" w:color="auto"/>
            <w:left w:val="none" w:sz="0" w:space="0" w:color="auto"/>
            <w:bottom w:val="none" w:sz="0" w:space="0" w:color="auto"/>
            <w:right w:val="none" w:sz="0" w:space="0" w:color="auto"/>
          </w:divBdr>
          <w:divsChild>
            <w:div w:id="17608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704">
      <w:bodyDiv w:val="1"/>
      <w:marLeft w:val="0"/>
      <w:marRight w:val="0"/>
      <w:marTop w:val="0"/>
      <w:marBottom w:val="0"/>
      <w:divBdr>
        <w:top w:val="none" w:sz="0" w:space="0" w:color="auto"/>
        <w:left w:val="none" w:sz="0" w:space="0" w:color="auto"/>
        <w:bottom w:val="none" w:sz="0" w:space="0" w:color="auto"/>
        <w:right w:val="none" w:sz="0" w:space="0" w:color="auto"/>
      </w:divBdr>
    </w:div>
    <w:div w:id="183714320">
      <w:bodyDiv w:val="1"/>
      <w:marLeft w:val="0"/>
      <w:marRight w:val="0"/>
      <w:marTop w:val="0"/>
      <w:marBottom w:val="0"/>
      <w:divBdr>
        <w:top w:val="none" w:sz="0" w:space="0" w:color="auto"/>
        <w:left w:val="none" w:sz="0" w:space="0" w:color="auto"/>
        <w:bottom w:val="none" w:sz="0" w:space="0" w:color="auto"/>
        <w:right w:val="none" w:sz="0" w:space="0" w:color="auto"/>
      </w:divBdr>
      <w:divsChild>
        <w:div w:id="729228220">
          <w:marLeft w:val="0"/>
          <w:marRight w:val="0"/>
          <w:marTop w:val="0"/>
          <w:marBottom w:val="0"/>
          <w:divBdr>
            <w:top w:val="none" w:sz="0" w:space="0" w:color="auto"/>
            <w:left w:val="none" w:sz="0" w:space="0" w:color="auto"/>
            <w:bottom w:val="none" w:sz="0" w:space="0" w:color="auto"/>
            <w:right w:val="none" w:sz="0" w:space="0" w:color="auto"/>
          </w:divBdr>
          <w:divsChild>
            <w:div w:id="1988779579">
              <w:marLeft w:val="0"/>
              <w:marRight w:val="0"/>
              <w:marTop w:val="0"/>
              <w:marBottom w:val="0"/>
              <w:divBdr>
                <w:top w:val="none" w:sz="0" w:space="0" w:color="auto"/>
                <w:left w:val="none" w:sz="0" w:space="0" w:color="auto"/>
                <w:bottom w:val="none" w:sz="0" w:space="0" w:color="auto"/>
                <w:right w:val="none" w:sz="0" w:space="0" w:color="auto"/>
              </w:divBdr>
            </w:div>
          </w:divsChild>
        </w:div>
        <w:div w:id="827940764">
          <w:marLeft w:val="0"/>
          <w:marRight w:val="0"/>
          <w:marTop w:val="0"/>
          <w:marBottom w:val="0"/>
          <w:divBdr>
            <w:top w:val="none" w:sz="0" w:space="0" w:color="auto"/>
            <w:left w:val="none" w:sz="0" w:space="0" w:color="auto"/>
            <w:bottom w:val="none" w:sz="0" w:space="0" w:color="auto"/>
            <w:right w:val="none" w:sz="0" w:space="0" w:color="auto"/>
          </w:divBdr>
          <w:divsChild>
            <w:div w:id="246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5200">
      <w:bodyDiv w:val="1"/>
      <w:marLeft w:val="0"/>
      <w:marRight w:val="0"/>
      <w:marTop w:val="0"/>
      <w:marBottom w:val="0"/>
      <w:divBdr>
        <w:top w:val="none" w:sz="0" w:space="0" w:color="auto"/>
        <w:left w:val="none" w:sz="0" w:space="0" w:color="auto"/>
        <w:bottom w:val="none" w:sz="0" w:space="0" w:color="auto"/>
        <w:right w:val="none" w:sz="0" w:space="0" w:color="auto"/>
      </w:divBdr>
    </w:div>
    <w:div w:id="211768957">
      <w:bodyDiv w:val="1"/>
      <w:marLeft w:val="0"/>
      <w:marRight w:val="0"/>
      <w:marTop w:val="0"/>
      <w:marBottom w:val="0"/>
      <w:divBdr>
        <w:top w:val="none" w:sz="0" w:space="0" w:color="auto"/>
        <w:left w:val="none" w:sz="0" w:space="0" w:color="auto"/>
        <w:bottom w:val="none" w:sz="0" w:space="0" w:color="auto"/>
        <w:right w:val="none" w:sz="0" w:space="0" w:color="auto"/>
      </w:divBdr>
      <w:divsChild>
        <w:div w:id="1116876510">
          <w:marLeft w:val="0"/>
          <w:marRight w:val="0"/>
          <w:marTop w:val="0"/>
          <w:marBottom w:val="0"/>
          <w:divBdr>
            <w:top w:val="none" w:sz="0" w:space="0" w:color="auto"/>
            <w:left w:val="none" w:sz="0" w:space="0" w:color="auto"/>
            <w:bottom w:val="none" w:sz="0" w:space="0" w:color="auto"/>
            <w:right w:val="none" w:sz="0" w:space="0" w:color="auto"/>
          </w:divBdr>
        </w:div>
      </w:divsChild>
    </w:div>
    <w:div w:id="217206771">
      <w:bodyDiv w:val="1"/>
      <w:marLeft w:val="0"/>
      <w:marRight w:val="0"/>
      <w:marTop w:val="0"/>
      <w:marBottom w:val="0"/>
      <w:divBdr>
        <w:top w:val="none" w:sz="0" w:space="0" w:color="auto"/>
        <w:left w:val="none" w:sz="0" w:space="0" w:color="auto"/>
        <w:bottom w:val="none" w:sz="0" w:space="0" w:color="auto"/>
        <w:right w:val="none" w:sz="0" w:space="0" w:color="auto"/>
      </w:divBdr>
      <w:divsChild>
        <w:div w:id="2041203122">
          <w:marLeft w:val="0"/>
          <w:marRight w:val="0"/>
          <w:marTop w:val="0"/>
          <w:marBottom w:val="0"/>
          <w:divBdr>
            <w:top w:val="none" w:sz="0" w:space="0" w:color="auto"/>
            <w:left w:val="none" w:sz="0" w:space="0" w:color="auto"/>
            <w:bottom w:val="none" w:sz="0" w:space="0" w:color="auto"/>
            <w:right w:val="none" w:sz="0" w:space="0" w:color="auto"/>
          </w:divBdr>
          <w:divsChild>
            <w:div w:id="120467622">
              <w:marLeft w:val="0"/>
              <w:marRight w:val="0"/>
              <w:marTop w:val="0"/>
              <w:marBottom w:val="0"/>
              <w:divBdr>
                <w:top w:val="none" w:sz="0" w:space="0" w:color="auto"/>
                <w:left w:val="none" w:sz="0" w:space="0" w:color="auto"/>
                <w:bottom w:val="none" w:sz="0" w:space="0" w:color="auto"/>
                <w:right w:val="none" w:sz="0" w:space="0" w:color="auto"/>
              </w:divBdr>
            </w:div>
          </w:divsChild>
        </w:div>
        <w:div w:id="2069181602">
          <w:marLeft w:val="0"/>
          <w:marRight w:val="0"/>
          <w:marTop w:val="0"/>
          <w:marBottom w:val="0"/>
          <w:divBdr>
            <w:top w:val="none" w:sz="0" w:space="0" w:color="auto"/>
            <w:left w:val="none" w:sz="0" w:space="0" w:color="auto"/>
            <w:bottom w:val="none" w:sz="0" w:space="0" w:color="auto"/>
            <w:right w:val="none" w:sz="0" w:space="0" w:color="auto"/>
          </w:divBdr>
          <w:divsChild>
            <w:div w:id="10731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4831">
      <w:bodyDiv w:val="1"/>
      <w:marLeft w:val="0"/>
      <w:marRight w:val="0"/>
      <w:marTop w:val="0"/>
      <w:marBottom w:val="0"/>
      <w:divBdr>
        <w:top w:val="none" w:sz="0" w:space="0" w:color="auto"/>
        <w:left w:val="none" w:sz="0" w:space="0" w:color="auto"/>
        <w:bottom w:val="none" w:sz="0" w:space="0" w:color="auto"/>
        <w:right w:val="none" w:sz="0" w:space="0" w:color="auto"/>
      </w:divBdr>
    </w:div>
    <w:div w:id="329598434">
      <w:bodyDiv w:val="1"/>
      <w:marLeft w:val="0"/>
      <w:marRight w:val="0"/>
      <w:marTop w:val="0"/>
      <w:marBottom w:val="0"/>
      <w:divBdr>
        <w:top w:val="none" w:sz="0" w:space="0" w:color="auto"/>
        <w:left w:val="none" w:sz="0" w:space="0" w:color="auto"/>
        <w:bottom w:val="none" w:sz="0" w:space="0" w:color="auto"/>
        <w:right w:val="none" w:sz="0" w:space="0" w:color="auto"/>
      </w:divBdr>
    </w:div>
    <w:div w:id="352001055">
      <w:bodyDiv w:val="1"/>
      <w:marLeft w:val="0"/>
      <w:marRight w:val="0"/>
      <w:marTop w:val="0"/>
      <w:marBottom w:val="0"/>
      <w:divBdr>
        <w:top w:val="none" w:sz="0" w:space="0" w:color="auto"/>
        <w:left w:val="none" w:sz="0" w:space="0" w:color="auto"/>
        <w:bottom w:val="none" w:sz="0" w:space="0" w:color="auto"/>
        <w:right w:val="none" w:sz="0" w:space="0" w:color="auto"/>
      </w:divBdr>
      <w:divsChild>
        <w:div w:id="622997639">
          <w:marLeft w:val="0"/>
          <w:marRight w:val="0"/>
          <w:marTop w:val="0"/>
          <w:marBottom w:val="0"/>
          <w:divBdr>
            <w:top w:val="none" w:sz="0" w:space="0" w:color="auto"/>
            <w:left w:val="none" w:sz="0" w:space="0" w:color="auto"/>
            <w:bottom w:val="none" w:sz="0" w:space="0" w:color="auto"/>
            <w:right w:val="none" w:sz="0" w:space="0" w:color="auto"/>
          </w:divBdr>
          <w:divsChild>
            <w:div w:id="113722187">
              <w:marLeft w:val="0"/>
              <w:marRight w:val="0"/>
              <w:marTop w:val="0"/>
              <w:marBottom w:val="0"/>
              <w:divBdr>
                <w:top w:val="none" w:sz="0" w:space="0" w:color="auto"/>
                <w:left w:val="none" w:sz="0" w:space="0" w:color="auto"/>
                <w:bottom w:val="none" w:sz="0" w:space="0" w:color="auto"/>
                <w:right w:val="none" w:sz="0" w:space="0" w:color="auto"/>
              </w:divBdr>
            </w:div>
          </w:divsChild>
        </w:div>
        <w:div w:id="1131627917">
          <w:marLeft w:val="0"/>
          <w:marRight w:val="0"/>
          <w:marTop w:val="0"/>
          <w:marBottom w:val="0"/>
          <w:divBdr>
            <w:top w:val="none" w:sz="0" w:space="0" w:color="auto"/>
            <w:left w:val="none" w:sz="0" w:space="0" w:color="auto"/>
            <w:bottom w:val="none" w:sz="0" w:space="0" w:color="auto"/>
            <w:right w:val="none" w:sz="0" w:space="0" w:color="auto"/>
          </w:divBdr>
          <w:divsChild>
            <w:div w:id="10035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0853">
      <w:bodyDiv w:val="1"/>
      <w:marLeft w:val="0"/>
      <w:marRight w:val="0"/>
      <w:marTop w:val="0"/>
      <w:marBottom w:val="0"/>
      <w:divBdr>
        <w:top w:val="none" w:sz="0" w:space="0" w:color="auto"/>
        <w:left w:val="none" w:sz="0" w:space="0" w:color="auto"/>
        <w:bottom w:val="none" w:sz="0" w:space="0" w:color="auto"/>
        <w:right w:val="none" w:sz="0" w:space="0" w:color="auto"/>
      </w:divBdr>
      <w:divsChild>
        <w:div w:id="1866207510">
          <w:marLeft w:val="0"/>
          <w:marRight w:val="0"/>
          <w:marTop w:val="0"/>
          <w:marBottom w:val="0"/>
          <w:divBdr>
            <w:top w:val="none" w:sz="0" w:space="0" w:color="auto"/>
            <w:left w:val="none" w:sz="0" w:space="0" w:color="auto"/>
            <w:bottom w:val="none" w:sz="0" w:space="0" w:color="auto"/>
            <w:right w:val="none" w:sz="0" w:space="0" w:color="auto"/>
          </w:divBdr>
          <w:divsChild>
            <w:div w:id="317926022">
              <w:marLeft w:val="0"/>
              <w:marRight w:val="0"/>
              <w:marTop w:val="0"/>
              <w:marBottom w:val="0"/>
              <w:divBdr>
                <w:top w:val="none" w:sz="0" w:space="0" w:color="auto"/>
                <w:left w:val="none" w:sz="0" w:space="0" w:color="auto"/>
                <w:bottom w:val="none" w:sz="0" w:space="0" w:color="auto"/>
                <w:right w:val="none" w:sz="0" w:space="0" w:color="auto"/>
              </w:divBdr>
            </w:div>
          </w:divsChild>
        </w:div>
        <w:div w:id="1981491707">
          <w:marLeft w:val="0"/>
          <w:marRight w:val="0"/>
          <w:marTop w:val="0"/>
          <w:marBottom w:val="0"/>
          <w:divBdr>
            <w:top w:val="none" w:sz="0" w:space="0" w:color="auto"/>
            <w:left w:val="none" w:sz="0" w:space="0" w:color="auto"/>
            <w:bottom w:val="none" w:sz="0" w:space="0" w:color="auto"/>
            <w:right w:val="none" w:sz="0" w:space="0" w:color="auto"/>
          </w:divBdr>
          <w:divsChild>
            <w:div w:id="778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91859">
      <w:bodyDiv w:val="1"/>
      <w:marLeft w:val="0"/>
      <w:marRight w:val="0"/>
      <w:marTop w:val="0"/>
      <w:marBottom w:val="0"/>
      <w:divBdr>
        <w:top w:val="none" w:sz="0" w:space="0" w:color="auto"/>
        <w:left w:val="none" w:sz="0" w:space="0" w:color="auto"/>
        <w:bottom w:val="none" w:sz="0" w:space="0" w:color="auto"/>
        <w:right w:val="none" w:sz="0" w:space="0" w:color="auto"/>
      </w:divBdr>
    </w:div>
    <w:div w:id="668214438">
      <w:bodyDiv w:val="1"/>
      <w:marLeft w:val="0"/>
      <w:marRight w:val="0"/>
      <w:marTop w:val="0"/>
      <w:marBottom w:val="0"/>
      <w:divBdr>
        <w:top w:val="none" w:sz="0" w:space="0" w:color="auto"/>
        <w:left w:val="none" w:sz="0" w:space="0" w:color="auto"/>
        <w:bottom w:val="none" w:sz="0" w:space="0" w:color="auto"/>
        <w:right w:val="none" w:sz="0" w:space="0" w:color="auto"/>
      </w:divBdr>
      <w:divsChild>
        <w:div w:id="66533836">
          <w:marLeft w:val="0"/>
          <w:marRight w:val="0"/>
          <w:marTop w:val="0"/>
          <w:marBottom w:val="0"/>
          <w:divBdr>
            <w:top w:val="none" w:sz="0" w:space="0" w:color="auto"/>
            <w:left w:val="none" w:sz="0" w:space="0" w:color="auto"/>
            <w:bottom w:val="none" w:sz="0" w:space="0" w:color="auto"/>
            <w:right w:val="none" w:sz="0" w:space="0" w:color="auto"/>
          </w:divBdr>
          <w:divsChild>
            <w:div w:id="1079789583">
              <w:marLeft w:val="0"/>
              <w:marRight w:val="0"/>
              <w:marTop w:val="0"/>
              <w:marBottom w:val="0"/>
              <w:divBdr>
                <w:top w:val="none" w:sz="0" w:space="0" w:color="auto"/>
                <w:left w:val="none" w:sz="0" w:space="0" w:color="auto"/>
                <w:bottom w:val="none" w:sz="0" w:space="0" w:color="auto"/>
                <w:right w:val="none" w:sz="0" w:space="0" w:color="auto"/>
              </w:divBdr>
            </w:div>
          </w:divsChild>
        </w:div>
        <w:div w:id="42411844">
          <w:marLeft w:val="0"/>
          <w:marRight w:val="0"/>
          <w:marTop w:val="0"/>
          <w:marBottom w:val="0"/>
          <w:divBdr>
            <w:top w:val="none" w:sz="0" w:space="0" w:color="auto"/>
            <w:left w:val="none" w:sz="0" w:space="0" w:color="auto"/>
            <w:bottom w:val="none" w:sz="0" w:space="0" w:color="auto"/>
            <w:right w:val="none" w:sz="0" w:space="0" w:color="auto"/>
          </w:divBdr>
          <w:divsChild>
            <w:div w:id="1443452711">
              <w:marLeft w:val="0"/>
              <w:marRight w:val="0"/>
              <w:marTop w:val="0"/>
              <w:marBottom w:val="0"/>
              <w:divBdr>
                <w:top w:val="none" w:sz="0" w:space="0" w:color="auto"/>
                <w:left w:val="none" w:sz="0" w:space="0" w:color="auto"/>
                <w:bottom w:val="none" w:sz="0" w:space="0" w:color="auto"/>
                <w:right w:val="none" w:sz="0" w:space="0" w:color="auto"/>
              </w:divBdr>
            </w:div>
          </w:divsChild>
        </w:div>
        <w:div w:id="1654024871">
          <w:marLeft w:val="0"/>
          <w:marRight w:val="0"/>
          <w:marTop w:val="0"/>
          <w:marBottom w:val="0"/>
          <w:divBdr>
            <w:top w:val="none" w:sz="0" w:space="0" w:color="auto"/>
            <w:left w:val="none" w:sz="0" w:space="0" w:color="auto"/>
            <w:bottom w:val="none" w:sz="0" w:space="0" w:color="auto"/>
            <w:right w:val="none" w:sz="0" w:space="0" w:color="auto"/>
          </w:divBdr>
        </w:div>
      </w:divsChild>
    </w:div>
    <w:div w:id="671376737">
      <w:bodyDiv w:val="1"/>
      <w:marLeft w:val="0"/>
      <w:marRight w:val="0"/>
      <w:marTop w:val="0"/>
      <w:marBottom w:val="0"/>
      <w:divBdr>
        <w:top w:val="none" w:sz="0" w:space="0" w:color="auto"/>
        <w:left w:val="none" w:sz="0" w:space="0" w:color="auto"/>
        <w:bottom w:val="none" w:sz="0" w:space="0" w:color="auto"/>
        <w:right w:val="none" w:sz="0" w:space="0" w:color="auto"/>
      </w:divBdr>
    </w:div>
    <w:div w:id="683824637">
      <w:bodyDiv w:val="1"/>
      <w:marLeft w:val="0"/>
      <w:marRight w:val="0"/>
      <w:marTop w:val="0"/>
      <w:marBottom w:val="0"/>
      <w:divBdr>
        <w:top w:val="none" w:sz="0" w:space="0" w:color="auto"/>
        <w:left w:val="none" w:sz="0" w:space="0" w:color="auto"/>
        <w:bottom w:val="none" w:sz="0" w:space="0" w:color="auto"/>
        <w:right w:val="none" w:sz="0" w:space="0" w:color="auto"/>
      </w:divBdr>
      <w:divsChild>
        <w:div w:id="465203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42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283315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6533942">
      <w:bodyDiv w:val="1"/>
      <w:marLeft w:val="0"/>
      <w:marRight w:val="0"/>
      <w:marTop w:val="0"/>
      <w:marBottom w:val="0"/>
      <w:divBdr>
        <w:top w:val="none" w:sz="0" w:space="0" w:color="auto"/>
        <w:left w:val="none" w:sz="0" w:space="0" w:color="auto"/>
        <w:bottom w:val="none" w:sz="0" w:space="0" w:color="auto"/>
        <w:right w:val="none" w:sz="0" w:space="0" w:color="auto"/>
      </w:divBdr>
      <w:divsChild>
        <w:div w:id="2068645826">
          <w:marLeft w:val="0"/>
          <w:marRight w:val="0"/>
          <w:marTop w:val="0"/>
          <w:marBottom w:val="0"/>
          <w:divBdr>
            <w:top w:val="none" w:sz="0" w:space="0" w:color="auto"/>
            <w:left w:val="none" w:sz="0" w:space="0" w:color="auto"/>
            <w:bottom w:val="none" w:sz="0" w:space="0" w:color="auto"/>
            <w:right w:val="none" w:sz="0" w:space="0" w:color="auto"/>
          </w:divBdr>
        </w:div>
      </w:divsChild>
    </w:div>
    <w:div w:id="748232490">
      <w:bodyDiv w:val="1"/>
      <w:marLeft w:val="0"/>
      <w:marRight w:val="0"/>
      <w:marTop w:val="0"/>
      <w:marBottom w:val="0"/>
      <w:divBdr>
        <w:top w:val="none" w:sz="0" w:space="0" w:color="auto"/>
        <w:left w:val="none" w:sz="0" w:space="0" w:color="auto"/>
        <w:bottom w:val="none" w:sz="0" w:space="0" w:color="auto"/>
        <w:right w:val="none" w:sz="0" w:space="0" w:color="auto"/>
      </w:divBdr>
      <w:divsChild>
        <w:div w:id="56323298">
          <w:marLeft w:val="0"/>
          <w:marRight w:val="0"/>
          <w:marTop w:val="0"/>
          <w:marBottom w:val="0"/>
          <w:divBdr>
            <w:top w:val="none" w:sz="0" w:space="0" w:color="auto"/>
            <w:left w:val="none" w:sz="0" w:space="0" w:color="auto"/>
            <w:bottom w:val="none" w:sz="0" w:space="0" w:color="auto"/>
            <w:right w:val="none" w:sz="0" w:space="0" w:color="auto"/>
          </w:divBdr>
          <w:divsChild>
            <w:div w:id="1437141236">
              <w:marLeft w:val="0"/>
              <w:marRight w:val="0"/>
              <w:marTop w:val="0"/>
              <w:marBottom w:val="0"/>
              <w:divBdr>
                <w:top w:val="none" w:sz="0" w:space="0" w:color="auto"/>
                <w:left w:val="none" w:sz="0" w:space="0" w:color="auto"/>
                <w:bottom w:val="none" w:sz="0" w:space="0" w:color="auto"/>
                <w:right w:val="none" w:sz="0" w:space="0" w:color="auto"/>
              </w:divBdr>
            </w:div>
          </w:divsChild>
        </w:div>
        <w:div w:id="484787001">
          <w:marLeft w:val="0"/>
          <w:marRight w:val="0"/>
          <w:marTop w:val="0"/>
          <w:marBottom w:val="0"/>
          <w:divBdr>
            <w:top w:val="none" w:sz="0" w:space="0" w:color="auto"/>
            <w:left w:val="none" w:sz="0" w:space="0" w:color="auto"/>
            <w:bottom w:val="none" w:sz="0" w:space="0" w:color="auto"/>
            <w:right w:val="none" w:sz="0" w:space="0" w:color="auto"/>
          </w:divBdr>
          <w:divsChild>
            <w:div w:id="991909899">
              <w:marLeft w:val="0"/>
              <w:marRight w:val="0"/>
              <w:marTop w:val="0"/>
              <w:marBottom w:val="0"/>
              <w:divBdr>
                <w:top w:val="none" w:sz="0" w:space="0" w:color="auto"/>
                <w:left w:val="none" w:sz="0" w:space="0" w:color="auto"/>
                <w:bottom w:val="none" w:sz="0" w:space="0" w:color="auto"/>
                <w:right w:val="none" w:sz="0" w:space="0" w:color="auto"/>
              </w:divBdr>
            </w:div>
            <w:div w:id="770320381">
              <w:marLeft w:val="0"/>
              <w:marRight w:val="0"/>
              <w:marTop w:val="0"/>
              <w:marBottom w:val="0"/>
              <w:divBdr>
                <w:top w:val="none" w:sz="0" w:space="0" w:color="auto"/>
                <w:left w:val="none" w:sz="0" w:space="0" w:color="auto"/>
                <w:bottom w:val="none" w:sz="0" w:space="0" w:color="auto"/>
                <w:right w:val="none" w:sz="0" w:space="0" w:color="auto"/>
              </w:divBdr>
            </w:div>
          </w:divsChild>
        </w:div>
        <w:div w:id="2068064176">
          <w:marLeft w:val="0"/>
          <w:marRight w:val="0"/>
          <w:marTop w:val="0"/>
          <w:marBottom w:val="0"/>
          <w:divBdr>
            <w:top w:val="none" w:sz="0" w:space="0" w:color="auto"/>
            <w:left w:val="none" w:sz="0" w:space="0" w:color="auto"/>
            <w:bottom w:val="none" w:sz="0" w:space="0" w:color="auto"/>
            <w:right w:val="none" w:sz="0" w:space="0" w:color="auto"/>
          </w:divBdr>
          <w:divsChild>
            <w:div w:id="194782131">
              <w:marLeft w:val="0"/>
              <w:marRight w:val="0"/>
              <w:marTop w:val="0"/>
              <w:marBottom w:val="0"/>
              <w:divBdr>
                <w:top w:val="none" w:sz="0" w:space="0" w:color="auto"/>
                <w:left w:val="none" w:sz="0" w:space="0" w:color="auto"/>
                <w:bottom w:val="none" w:sz="0" w:space="0" w:color="auto"/>
                <w:right w:val="none" w:sz="0" w:space="0" w:color="auto"/>
              </w:divBdr>
            </w:div>
            <w:div w:id="2424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7247">
      <w:bodyDiv w:val="1"/>
      <w:marLeft w:val="0"/>
      <w:marRight w:val="0"/>
      <w:marTop w:val="0"/>
      <w:marBottom w:val="0"/>
      <w:divBdr>
        <w:top w:val="none" w:sz="0" w:space="0" w:color="auto"/>
        <w:left w:val="none" w:sz="0" w:space="0" w:color="auto"/>
        <w:bottom w:val="none" w:sz="0" w:space="0" w:color="auto"/>
        <w:right w:val="none" w:sz="0" w:space="0" w:color="auto"/>
      </w:divBdr>
      <w:divsChild>
        <w:div w:id="1737581336">
          <w:marLeft w:val="0"/>
          <w:marRight w:val="0"/>
          <w:marTop w:val="0"/>
          <w:marBottom w:val="0"/>
          <w:divBdr>
            <w:top w:val="none" w:sz="0" w:space="0" w:color="auto"/>
            <w:left w:val="none" w:sz="0" w:space="0" w:color="auto"/>
            <w:bottom w:val="none" w:sz="0" w:space="0" w:color="auto"/>
            <w:right w:val="none" w:sz="0" w:space="0" w:color="auto"/>
          </w:divBdr>
          <w:divsChild>
            <w:div w:id="1069038719">
              <w:marLeft w:val="0"/>
              <w:marRight w:val="0"/>
              <w:marTop w:val="0"/>
              <w:marBottom w:val="0"/>
              <w:divBdr>
                <w:top w:val="none" w:sz="0" w:space="0" w:color="auto"/>
                <w:left w:val="none" w:sz="0" w:space="0" w:color="auto"/>
                <w:bottom w:val="none" w:sz="0" w:space="0" w:color="auto"/>
                <w:right w:val="none" w:sz="0" w:space="0" w:color="auto"/>
              </w:divBdr>
            </w:div>
          </w:divsChild>
        </w:div>
        <w:div w:id="200438054">
          <w:marLeft w:val="0"/>
          <w:marRight w:val="0"/>
          <w:marTop w:val="0"/>
          <w:marBottom w:val="0"/>
          <w:divBdr>
            <w:top w:val="none" w:sz="0" w:space="0" w:color="auto"/>
            <w:left w:val="none" w:sz="0" w:space="0" w:color="auto"/>
            <w:bottom w:val="none" w:sz="0" w:space="0" w:color="auto"/>
            <w:right w:val="none" w:sz="0" w:space="0" w:color="auto"/>
          </w:divBdr>
          <w:divsChild>
            <w:div w:id="11090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8079">
      <w:bodyDiv w:val="1"/>
      <w:marLeft w:val="0"/>
      <w:marRight w:val="0"/>
      <w:marTop w:val="0"/>
      <w:marBottom w:val="0"/>
      <w:divBdr>
        <w:top w:val="none" w:sz="0" w:space="0" w:color="auto"/>
        <w:left w:val="none" w:sz="0" w:space="0" w:color="auto"/>
        <w:bottom w:val="none" w:sz="0" w:space="0" w:color="auto"/>
        <w:right w:val="none" w:sz="0" w:space="0" w:color="auto"/>
      </w:divBdr>
    </w:div>
    <w:div w:id="819614902">
      <w:bodyDiv w:val="1"/>
      <w:marLeft w:val="0"/>
      <w:marRight w:val="0"/>
      <w:marTop w:val="0"/>
      <w:marBottom w:val="0"/>
      <w:divBdr>
        <w:top w:val="none" w:sz="0" w:space="0" w:color="auto"/>
        <w:left w:val="none" w:sz="0" w:space="0" w:color="auto"/>
        <w:bottom w:val="none" w:sz="0" w:space="0" w:color="auto"/>
        <w:right w:val="none" w:sz="0" w:space="0" w:color="auto"/>
      </w:divBdr>
      <w:divsChild>
        <w:div w:id="842355836">
          <w:marLeft w:val="0"/>
          <w:marRight w:val="0"/>
          <w:marTop w:val="0"/>
          <w:marBottom w:val="0"/>
          <w:divBdr>
            <w:top w:val="none" w:sz="0" w:space="0" w:color="auto"/>
            <w:left w:val="none" w:sz="0" w:space="0" w:color="auto"/>
            <w:bottom w:val="none" w:sz="0" w:space="0" w:color="auto"/>
            <w:right w:val="none" w:sz="0" w:space="0" w:color="auto"/>
          </w:divBdr>
          <w:divsChild>
            <w:div w:id="1280189597">
              <w:marLeft w:val="0"/>
              <w:marRight w:val="0"/>
              <w:marTop w:val="0"/>
              <w:marBottom w:val="0"/>
              <w:divBdr>
                <w:top w:val="none" w:sz="0" w:space="0" w:color="auto"/>
                <w:left w:val="none" w:sz="0" w:space="0" w:color="auto"/>
                <w:bottom w:val="none" w:sz="0" w:space="0" w:color="auto"/>
                <w:right w:val="none" w:sz="0" w:space="0" w:color="auto"/>
              </w:divBdr>
            </w:div>
          </w:divsChild>
        </w:div>
        <w:div w:id="1792631605">
          <w:marLeft w:val="0"/>
          <w:marRight w:val="0"/>
          <w:marTop w:val="0"/>
          <w:marBottom w:val="0"/>
          <w:divBdr>
            <w:top w:val="none" w:sz="0" w:space="0" w:color="auto"/>
            <w:left w:val="none" w:sz="0" w:space="0" w:color="auto"/>
            <w:bottom w:val="none" w:sz="0" w:space="0" w:color="auto"/>
            <w:right w:val="none" w:sz="0" w:space="0" w:color="auto"/>
          </w:divBdr>
          <w:divsChild>
            <w:div w:id="901982208">
              <w:marLeft w:val="0"/>
              <w:marRight w:val="0"/>
              <w:marTop w:val="0"/>
              <w:marBottom w:val="0"/>
              <w:divBdr>
                <w:top w:val="none" w:sz="0" w:space="0" w:color="auto"/>
                <w:left w:val="none" w:sz="0" w:space="0" w:color="auto"/>
                <w:bottom w:val="none" w:sz="0" w:space="0" w:color="auto"/>
                <w:right w:val="none" w:sz="0" w:space="0" w:color="auto"/>
              </w:divBdr>
            </w:div>
            <w:div w:id="655033243">
              <w:marLeft w:val="0"/>
              <w:marRight w:val="0"/>
              <w:marTop w:val="0"/>
              <w:marBottom w:val="0"/>
              <w:divBdr>
                <w:top w:val="none" w:sz="0" w:space="0" w:color="auto"/>
                <w:left w:val="none" w:sz="0" w:space="0" w:color="auto"/>
                <w:bottom w:val="none" w:sz="0" w:space="0" w:color="auto"/>
                <w:right w:val="none" w:sz="0" w:space="0" w:color="auto"/>
              </w:divBdr>
            </w:div>
          </w:divsChild>
        </w:div>
        <w:div w:id="1600407074">
          <w:marLeft w:val="0"/>
          <w:marRight w:val="0"/>
          <w:marTop w:val="0"/>
          <w:marBottom w:val="0"/>
          <w:divBdr>
            <w:top w:val="none" w:sz="0" w:space="0" w:color="auto"/>
            <w:left w:val="none" w:sz="0" w:space="0" w:color="auto"/>
            <w:bottom w:val="none" w:sz="0" w:space="0" w:color="auto"/>
            <w:right w:val="none" w:sz="0" w:space="0" w:color="auto"/>
          </w:divBdr>
          <w:divsChild>
            <w:div w:id="543907856">
              <w:marLeft w:val="0"/>
              <w:marRight w:val="0"/>
              <w:marTop w:val="0"/>
              <w:marBottom w:val="0"/>
              <w:divBdr>
                <w:top w:val="none" w:sz="0" w:space="0" w:color="auto"/>
                <w:left w:val="none" w:sz="0" w:space="0" w:color="auto"/>
                <w:bottom w:val="none" w:sz="0" w:space="0" w:color="auto"/>
                <w:right w:val="none" w:sz="0" w:space="0" w:color="auto"/>
              </w:divBdr>
            </w:div>
            <w:div w:id="17883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8666">
      <w:bodyDiv w:val="1"/>
      <w:marLeft w:val="0"/>
      <w:marRight w:val="0"/>
      <w:marTop w:val="0"/>
      <w:marBottom w:val="0"/>
      <w:divBdr>
        <w:top w:val="none" w:sz="0" w:space="0" w:color="auto"/>
        <w:left w:val="none" w:sz="0" w:space="0" w:color="auto"/>
        <w:bottom w:val="none" w:sz="0" w:space="0" w:color="auto"/>
        <w:right w:val="none" w:sz="0" w:space="0" w:color="auto"/>
      </w:divBdr>
      <w:divsChild>
        <w:div w:id="194078308">
          <w:marLeft w:val="0"/>
          <w:marRight w:val="0"/>
          <w:marTop w:val="0"/>
          <w:marBottom w:val="0"/>
          <w:divBdr>
            <w:top w:val="none" w:sz="0" w:space="0" w:color="auto"/>
            <w:left w:val="none" w:sz="0" w:space="0" w:color="auto"/>
            <w:bottom w:val="none" w:sz="0" w:space="0" w:color="auto"/>
            <w:right w:val="none" w:sz="0" w:space="0" w:color="auto"/>
          </w:divBdr>
          <w:divsChild>
            <w:div w:id="2127264847">
              <w:marLeft w:val="0"/>
              <w:marRight w:val="0"/>
              <w:marTop w:val="0"/>
              <w:marBottom w:val="0"/>
              <w:divBdr>
                <w:top w:val="none" w:sz="0" w:space="0" w:color="auto"/>
                <w:left w:val="none" w:sz="0" w:space="0" w:color="auto"/>
                <w:bottom w:val="none" w:sz="0" w:space="0" w:color="auto"/>
                <w:right w:val="none" w:sz="0" w:space="0" w:color="auto"/>
              </w:divBdr>
            </w:div>
          </w:divsChild>
        </w:div>
        <w:div w:id="1675183857">
          <w:marLeft w:val="0"/>
          <w:marRight w:val="0"/>
          <w:marTop w:val="0"/>
          <w:marBottom w:val="0"/>
          <w:divBdr>
            <w:top w:val="none" w:sz="0" w:space="0" w:color="auto"/>
            <w:left w:val="none" w:sz="0" w:space="0" w:color="auto"/>
            <w:bottom w:val="none" w:sz="0" w:space="0" w:color="auto"/>
            <w:right w:val="none" w:sz="0" w:space="0" w:color="auto"/>
          </w:divBdr>
          <w:divsChild>
            <w:div w:id="7705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7060">
      <w:bodyDiv w:val="1"/>
      <w:marLeft w:val="0"/>
      <w:marRight w:val="0"/>
      <w:marTop w:val="0"/>
      <w:marBottom w:val="0"/>
      <w:divBdr>
        <w:top w:val="none" w:sz="0" w:space="0" w:color="auto"/>
        <w:left w:val="none" w:sz="0" w:space="0" w:color="auto"/>
        <w:bottom w:val="none" w:sz="0" w:space="0" w:color="auto"/>
        <w:right w:val="none" w:sz="0" w:space="0" w:color="auto"/>
      </w:divBdr>
      <w:divsChild>
        <w:div w:id="1426224763">
          <w:marLeft w:val="0"/>
          <w:marRight w:val="0"/>
          <w:marTop w:val="0"/>
          <w:marBottom w:val="0"/>
          <w:divBdr>
            <w:top w:val="none" w:sz="0" w:space="0" w:color="auto"/>
            <w:left w:val="none" w:sz="0" w:space="0" w:color="auto"/>
            <w:bottom w:val="none" w:sz="0" w:space="0" w:color="auto"/>
            <w:right w:val="none" w:sz="0" w:space="0" w:color="auto"/>
          </w:divBdr>
          <w:divsChild>
            <w:div w:id="1977829850">
              <w:marLeft w:val="0"/>
              <w:marRight w:val="0"/>
              <w:marTop w:val="0"/>
              <w:marBottom w:val="0"/>
              <w:divBdr>
                <w:top w:val="none" w:sz="0" w:space="0" w:color="auto"/>
                <w:left w:val="none" w:sz="0" w:space="0" w:color="auto"/>
                <w:bottom w:val="none" w:sz="0" w:space="0" w:color="auto"/>
                <w:right w:val="none" w:sz="0" w:space="0" w:color="auto"/>
              </w:divBdr>
            </w:div>
          </w:divsChild>
        </w:div>
        <w:div w:id="489446126">
          <w:marLeft w:val="0"/>
          <w:marRight w:val="0"/>
          <w:marTop w:val="0"/>
          <w:marBottom w:val="0"/>
          <w:divBdr>
            <w:top w:val="none" w:sz="0" w:space="0" w:color="auto"/>
            <w:left w:val="none" w:sz="0" w:space="0" w:color="auto"/>
            <w:bottom w:val="none" w:sz="0" w:space="0" w:color="auto"/>
            <w:right w:val="none" w:sz="0" w:space="0" w:color="auto"/>
          </w:divBdr>
          <w:divsChild>
            <w:div w:id="19297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3275">
      <w:bodyDiv w:val="1"/>
      <w:marLeft w:val="0"/>
      <w:marRight w:val="0"/>
      <w:marTop w:val="0"/>
      <w:marBottom w:val="0"/>
      <w:divBdr>
        <w:top w:val="none" w:sz="0" w:space="0" w:color="auto"/>
        <w:left w:val="none" w:sz="0" w:space="0" w:color="auto"/>
        <w:bottom w:val="none" w:sz="0" w:space="0" w:color="auto"/>
        <w:right w:val="none" w:sz="0" w:space="0" w:color="auto"/>
      </w:divBdr>
      <w:divsChild>
        <w:div w:id="1484614914">
          <w:marLeft w:val="0"/>
          <w:marRight w:val="0"/>
          <w:marTop w:val="0"/>
          <w:marBottom w:val="0"/>
          <w:divBdr>
            <w:top w:val="none" w:sz="0" w:space="0" w:color="auto"/>
            <w:left w:val="none" w:sz="0" w:space="0" w:color="auto"/>
            <w:bottom w:val="none" w:sz="0" w:space="0" w:color="auto"/>
            <w:right w:val="none" w:sz="0" w:space="0" w:color="auto"/>
          </w:divBdr>
          <w:divsChild>
            <w:div w:id="1544250567">
              <w:marLeft w:val="0"/>
              <w:marRight w:val="0"/>
              <w:marTop w:val="0"/>
              <w:marBottom w:val="0"/>
              <w:divBdr>
                <w:top w:val="none" w:sz="0" w:space="0" w:color="auto"/>
                <w:left w:val="none" w:sz="0" w:space="0" w:color="auto"/>
                <w:bottom w:val="none" w:sz="0" w:space="0" w:color="auto"/>
                <w:right w:val="none" w:sz="0" w:space="0" w:color="auto"/>
              </w:divBdr>
            </w:div>
          </w:divsChild>
        </w:div>
        <w:div w:id="246617159">
          <w:marLeft w:val="0"/>
          <w:marRight w:val="0"/>
          <w:marTop w:val="0"/>
          <w:marBottom w:val="0"/>
          <w:divBdr>
            <w:top w:val="none" w:sz="0" w:space="0" w:color="auto"/>
            <w:left w:val="none" w:sz="0" w:space="0" w:color="auto"/>
            <w:bottom w:val="none" w:sz="0" w:space="0" w:color="auto"/>
            <w:right w:val="none" w:sz="0" w:space="0" w:color="auto"/>
          </w:divBdr>
          <w:divsChild>
            <w:div w:id="2326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6668">
      <w:bodyDiv w:val="1"/>
      <w:marLeft w:val="0"/>
      <w:marRight w:val="0"/>
      <w:marTop w:val="0"/>
      <w:marBottom w:val="0"/>
      <w:divBdr>
        <w:top w:val="none" w:sz="0" w:space="0" w:color="auto"/>
        <w:left w:val="none" w:sz="0" w:space="0" w:color="auto"/>
        <w:bottom w:val="none" w:sz="0" w:space="0" w:color="auto"/>
        <w:right w:val="none" w:sz="0" w:space="0" w:color="auto"/>
      </w:divBdr>
    </w:div>
    <w:div w:id="993605716">
      <w:bodyDiv w:val="1"/>
      <w:marLeft w:val="0"/>
      <w:marRight w:val="0"/>
      <w:marTop w:val="0"/>
      <w:marBottom w:val="0"/>
      <w:divBdr>
        <w:top w:val="none" w:sz="0" w:space="0" w:color="auto"/>
        <w:left w:val="none" w:sz="0" w:space="0" w:color="auto"/>
        <w:bottom w:val="none" w:sz="0" w:space="0" w:color="auto"/>
        <w:right w:val="none" w:sz="0" w:space="0" w:color="auto"/>
      </w:divBdr>
    </w:div>
    <w:div w:id="1006900799">
      <w:bodyDiv w:val="1"/>
      <w:marLeft w:val="0"/>
      <w:marRight w:val="0"/>
      <w:marTop w:val="0"/>
      <w:marBottom w:val="0"/>
      <w:divBdr>
        <w:top w:val="none" w:sz="0" w:space="0" w:color="auto"/>
        <w:left w:val="none" w:sz="0" w:space="0" w:color="auto"/>
        <w:bottom w:val="none" w:sz="0" w:space="0" w:color="auto"/>
        <w:right w:val="none" w:sz="0" w:space="0" w:color="auto"/>
      </w:divBdr>
      <w:divsChild>
        <w:div w:id="1412508689">
          <w:marLeft w:val="0"/>
          <w:marRight w:val="0"/>
          <w:marTop w:val="0"/>
          <w:marBottom w:val="0"/>
          <w:divBdr>
            <w:top w:val="none" w:sz="0" w:space="0" w:color="auto"/>
            <w:left w:val="none" w:sz="0" w:space="0" w:color="auto"/>
            <w:bottom w:val="none" w:sz="0" w:space="0" w:color="auto"/>
            <w:right w:val="none" w:sz="0" w:space="0" w:color="auto"/>
          </w:divBdr>
          <w:divsChild>
            <w:div w:id="11259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3665">
      <w:bodyDiv w:val="1"/>
      <w:marLeft w:val="0"/>
      <w:marRight w:val="0"/>
      <w:marTop w:val="0"/>
      <w:marBottom w:val="0"/>
      <w:divBdr>
        <w:top w:val="none" w:sz="0" w:space="0" w:color="auto"/>
        <w:left w:val="none" w:sz="0" w:space="0" w:color="auto"/>
        <w:bottom w:val="none" w:sz="0" w:space="0" w:color="auto"/>
        <w:right w:val="none" w:sz="0" w:space="0" w:color="auto"/>
      </w:divBdr>
      <w:divsChild>
        <w:div w:id="537399851">
          <w:marLeft w:val="0"/>
          <w:marRight w:val="0"/>
          <w:marTop w:val="0"/>
          <w:marBottom w:val="0"/>
          <w:divBdr>
            <w:top w:val="none" w:sz="0" w:space="0" w:color="auto"/>
            <w:left w:val="none" w:sz="0" w:space="0" w:color="auto"/>
            <w:bottom w:val="none" w:sz="0" w:space="0" w:color="auto"/>
            <w:right w:val="none" w:sz="0" w:space="0" w:color="auto"/>
          </w:divBdr>
          <w:divsChild>
            <w:div w:id="17691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0670">
      <w:bodyDiv w:val="1"/>
      <w:marLeft w:val="0"/>
      <w:marRight w:val="0"/>
      <w:marTop w:val="0"/>
      <w:marBottom w:val="0"/>
      <w:divBdr>
        <w:top w:val="none" w:sz="0" w:space="0" w:color="auto"/>
        <w:left w:val="none" w:sz="0" w:space="0" w:color="auto"/>
        <w:bottom w:val="none" w:sz="0" w:space="0" w:color="auto"/>
        <w:right w:val="none" w:sz="0" w:space="0" w:color="auto"/>
      </w:divBdr>
    </w:div>
    <w:div w:id="1158426423">
      <w:bodyDiv w:val="1"/>
      <w:marLeft w:val="0"/>
      <w:marRight w:val="0"/>
      <w:marTop w:val="0"/>
      <w:marBottom w:val="0"/>
      <w:divBdr>
        <w:top w:val="none" w:sz="0" w:space="0" w:color="auto"/>
        <w:left w:val="none" w:sz="0" w:space="0" w:color="auto"/>
        <w:bottom w:val="none" w:sz="0" w:space="0" w:color="auto"/>
        <w:right w:val="none" w:sz="0" w:space="0" w:color="auto"/>
      </w:divBdr>
    </w:div>
    <w:div w:id="1271163741">
      <w:bodyDiv w:val="1"/>
      <w:marLeft w:val="0"/>
      <w:marRight w:val="0"/>
      <w:marTop w:val="0"/>
      <w:marBottom w:val="0"/>
      <w:divBdr>
        <w:top w:val="none" w:sz="0" w:space="0" w:color="auto"/>
        <w:left w:val="none" w:sz="0" w:space="0" w:color="auto"/>
        <w:bottom w:val="none" w:sz="0" w:space="0" w:color="auto"/>
        <w:right w:val="none" w:sz="0" w:space="0" w:color="auto"/>
      </w:divBdr>
    </w:div>
    <w:div w:id="1362702488">
      <w:bodyDiv w:val="1"/>
      <w:marLeft w:val="0"/>
      <w:marRight w:val="0"/>
      <w:marTop w:val="0"/>
      <w:marBottom w:val="0"/>
      <w:divBdr>
        <w:top w:val="none" w:sz="0" w:space="0" w:color="auto"/>
        <w:left w:val="none" w:sz="0" w:space="0" w:color="auto"/>
        <w:bottom w:val="none" w:sz="0" w:space="0" w:color="auto"/>
        <w:right w:val="none" w:sz="0" w:space="0" w:color="auto"/>
      </w:divBdr>
    </w:div>
    <w:div w:id="1373965026">
      <w:bodyDiv w:val="1"/>
      <w:marLeft w:val="0"/>
      <w:marRight w:val="0"/>
      <w:marTop w:val="0"/>
      <w:marBottom w:val="0"/>
      <w:divBdr>
        <w:top w:val="none" w:sz="0" w:space="0" w:color="auto"/>
        <w:left w:val="none" w:sz="0" w:space="0" w:color="auto"/>
        <w:bottom w:val="none" w:sz="0" w:space="0" w:color="auto"/>
        <w:right w:val="none" w:sz="0" w:space="0" w:color="auto"/>
      </w:divBdr>
      <w:divsChild>
        <w:div w:id="1338655879">
          <w:marLeft w:val="0"/>
          <w:marRight w:val="0"/>
          <w:marTop w:val="0"/>
          <w:marBottom w:val="0"/>
          <w:divBdr>
            <w:top w:val="none" w:sz="0" w:space="0" w:color="auto"/>
            <w:left w:val="none" w:sz="0" w:space="0" w:color="auto"/>
            <w:bottom w:val="none" w:sz="0" w:space="0" w:color="auto"/>
            <w:right w:val="none" w:sz="0" w:space="0" w:color="auto"/>
          </w:divBdr>
          <w:divsChild>
            <w:div w:id="8716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9572">
      <w:bodyDiv w:val="1"/>
      <w:marLeft w:val="0"/>
      <w:marRight w:val="0"/>
      <w:marTop w:val="0"/>
      <w:marBottom w:val="0"/>
      <w:divBdr>
        <w:top w:val="none" w:sz="0" w:space="0" w:color="auto"/>
        <w:left w:val="none" w:sz="0" w:space="0" w:color="auto"/>
        <w:bottom w:val="none" w:sz="0" w:space="0" w:color="auto"/>
        <w:right w:val="none" w:sz="0" w:space="0" w:color="auto"/>
      </w:divBdr>
    </w:div>
    <w:div w:id="1634364098">
      <w:bodyDiv w:val="1"/>
      <w:marLeft w:val="0"/>
      <w:marRight w:val="0"/>
      <w:marTop w:val="0"/>
      <w:marBottom w:val="0"/>
      <w:divBdr>
        <w:top w:val="none" w:sz="0" w:space="0" w:color="auto"/>
        <w:left w:val="none" w:sz="0" w:space="0" w:color="auto"/>
        <w:bottom w:val="none" w:sz="0" w:space="0" w:color="auto"/>
        <w:right w:val="none" w:sz="0" w:space="0" w:color="auto"/>
      </w:divBdr>
    </w:div>
    <w:div w:id="1786581058">
      <w:bodyDiv w:val="1"/>
      <w:marLeft w:val="0"/>
      <w:marRight w:val="0"/>
      <w:marTop w:val="0"/>
      <w:marBottom w:val="0"/>
      <w:divBdr>
        <w:top w:val="none" w:sz="0" w:space="0" w:color="auto"/>
        <w:left w:val="none" w:sz="0" w:space="0" w:color="auto"/>
        <w:bottom w:val="none" w:sz="0" w:space="0" w:color="auto"/>
        <w:right w:val="none" w:sz="0" w:space="0" w:color="auto"/>
      </w:divBdr>
    </w:div>
    <w:div w:id="1887066021">
      <w:bodyDiv w:val="1"/>
      <w:marLeft w:val="0"/>
      <w:marRight w:val="0"/>
      <w:marTop w:val="0"/>
      <w:marBottom w:val="0"/>
      <w:divBdr>
        <w:top w:val="none" w:sz="0" w:space="0" w:color="auto"/>
        <w:left w:val="none" w:sz="0" w:space="0" w:color="auto"/>
        <w:bottom w:val="none" w:sz="0" w:space="0" w:color="auto"/>
        <w:right w:val="none" w:sz="0" w:space="0" w:color="auto"/>
      </w:divBdr>
      <w:divsChild>
        <w:div w:id="1519615734">
          <w:marLeft w:val="0"/>
          <w:marRight w:val="0"/>
          <w:marTop w:val="0"/>
          <w:marBottom w:val="0"/>
          <w:divBdr>
            <w:top w:val="none" w:sz="0" w:space="0" w:color="auto"/>
            <w:left w:val="none" w:sz="0" w:space="0" w:color="auto"/>
            <w:bottom w:val="none" w:sz="0" w:space="0" w:color="auto"/>
            <w:right w:val="none" w:sz="0" w:space="0" w:color="auto"/>
          </w:divBdr>
          <w:divsChild>
            <w:div w:id="14250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02277">
      <w:bodyDiv w:val="1"/>
      <w:marLeft w:val="0"/>
      <w:marRight w:val="0"/>
      <w:marTop w:val="0"/>
      <w:marBottom w:val="0"/>
      <w:divBdr>
        <w:top w:val="none" w:sz="0" w:space="0" w:color="auto"/>
        <w:left w:val="none" w:sz="0" w:space="0" w:color="auto"/>
        <w:bottom w:val="none" w:sz="0" w:space="0" w:color="auto"/>
        <w:right w:val="none" w:sz="0" w:space="0" w:color="auto"/>
      </w:divBdr>
    </w:div>
    <w:div w:id="2022655675">
      <w:bodyDiv w:val="1"/>
      <w:marLeft w:val="0"/>
      <w:marRight w:val="0"/>
      <w:marTop w:val="0"/>
      <w:marBottom w:val="0"/>
      <w:divBdr>
        <w:top w:val="none" w:sz="0" w:space="0" w:color="auto"/>
        <w:left w:val="none" w:sz="0" w:space="0" w:color="auto"/>
        <w:bottom w:val="none" w:sz="0" w:space="0" w:color="auto"/>
        <w:right w:val="none" w:sz="0" w:space="0" w:color="auto"/>
      </w:divBdr>
      <w:divsChild>
        <w:div w:id="772360535">
          <w:marLeft w:val="0"/>
          <w:marRight w:val="0"/>
          <w:marTop w:val="0"/>
          <w:marBottom w:val="0"/>
          <w:divBdr>
            <w:top w:val="none" w:sz="0" w:space="0" w:color="auto"/>
            <w:left w:val="none" w:sz="0" w:space="0" w:color="auto"/>
            <w:bottom w:val="none" w:sz="0" w:space="0" w:color="auto"/>
            <w:right w:val="none" w:sz="0" w:space="0" w:color="auto"/>
          </w:divBdr>
          <w:divsChild>
            <w:div w:id="7032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2533">
      <w:bodyDiv w:val="1"/>
      <w:marLeft w:val="0"/>
      <w:marRight w:val="0"/>
      <w:marTop w:val="0"/>
      <w:marBottom w:val="0"/>
      <w:divBdr>
        <w:top w:val="none" w:sz="0" w:space="0" w:color="auto"/>
        <w:left w:val="none" w:sz="0" w:space="0" w:color="auto"/>
        <w:bottom w:val="none" w:sz="0" w:space="0" w:color="auto"/>
        <w:right w:val="none" w:sz="0" w:space="0" w:color="auto"/>
      </w:divBdr>
      <w:divsChild>
        <w:div w:id="12588313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505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440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809907">
      <w:bodyDiv w:val="1"/>
      <w:marLeft w:val="0"/>
      <w:marRight w:val="0"/>
      <w:marTop w:val="0"/>
      <w:marBottom w:val="0"/>
      <w:divBdr>
        <w:top w:val="none" w:sz="0" w:space="0" w:color="auto"/>
        <w:left w:val="none" w:sz="0" w:space="0" w:color="auto"/>
        <w:bottom w:val="none" w:sz="0" w:space="0" w:color="auto"/>
        <w:right w:val="none" w:sz="0" w:space="0" w:color="auto"/>
      </w:divBdr>
      <w:divsChild>
        <w:div w:id="437023978">
          <w:marLeft w:val="0"/>
          <w:marRight w:val="0"/>
          <w:marTop w:val="0"/>
          <w:marBottom w:val="0"/>
          <w:divBdr>
            <w:top w:val="none" w:sz="0" w:space="0" w:color="auto"/>
            <w:left w:val="none" w:sz="0" w:space="0" w:color="auto"/>
            <w:bottom w:val="none" w:sz="0" w:space="0" w:color="auto"/>
            <w:right w:val="none" w:sz="0" w:space="0" w:color="auto"/>
          </w:divBdr>
          <w:divsChild>
            <w:div w:id="21075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7975">
      <w:bodyDiv w:val="1"/>
      <w:marLeft w:val="0"/>
      <w:marRight w:val="0"/>
      <w:marTop w:val="0"/>
      <w:marBottom w:val="0"/>
      <w:divBdr>
        <w:top w:val="none" w:sz="0" w:space="0" w:color="auto"/>
        <w:left w:val="none" w:sz="0" w:space="0" w:color="auto"/>
        <w:bottom w:val="none" w:sz="0" w:space="0" w:color="auto"/>
        <w:right w:val="none" w:sz="0" w:space="0" w:color="auto"/>
      </w:divBdr>
      <w:divsChild>
        <w:div w:id="1071541324">
          <w:marLeft w:val="0"/>
          <w:marRight w:val="0"/>
          <w:marTop w:val="0"/>
          <w:marBottom w:val="0"/>
          <w:divBdr>
            <w:top w:val="none" w:sz="0" w:space="0" w:color="auto"/>
            <w:left w:val="none" w:sz="0" w:space="0" w:color="auto"/>
            <w:bottom w:val="none" w:sz="0" w:space="0" w:color="auto"/>
            <w:right w:val="none" w:sz="0" w:space="0" w:color="auto"/>
          </w:divBdr>
          <w:divsChild>
            <w:div w:id="1120101665">
              <w:marLeft w:val="0"/>
              <w:marRight w:val="0"/>
              <w:marTop w:val="0"/>
              <w:marBottom w:val="0"/>
              <w:divBdr>
                <w:top w:val="none" w:sz="0" w:space="0" w:color="auto"/>
                <w:left w:val="none" w:sz="0" w:space="0" w:color="auto"/>
                <w:bottom w:val="none" w:sz="0" w:space="0" w:color="auto"/>
                <w:right w:val="none" w:sz="0" w:space="0" w:color="auto"/>
              </w:divBdr>
            </w:div>
          </w:divsChild>
        </w:div>
        <w:div w:id="1061321861">
          <w:marLeft w:val="0"/>
          <w:marRight w:val="0"/>
          <w:marTop w:val="0"/>
          <w:marBottom w:val="0"/>
          <w:divBdr>
            <w:top w:val="none" w:sz="0" w:space="0" w:color="auto"/>
            <w:left w:val="none" w:sz="0" w:space="0" w:color="auto"/>
            <w:bottom w:val="none" w:sz="0" w:space="0" w:color="auto"/>
            <w:right w:val="none" w:sz="0" w:space="0" w:color="auto"/>
          </w:divBdr>
          <w:divsChild>
            <w:div w:id="1048870575">
              <w:marLeft w:val="0"/>
              <w:marRight w:val="0"/>
              <w:marTop w:val="0"/>
              <w:marBottom w:val="0"/>
              <w:divBdr>
                <w:top w:val="none" w:sz="0" w:space="0" w:color="auto"/>
                <w:left w:val="none" w:sz="0" w:space="0" w:color="auto"/>
                <w:bottom w:val="none" w:sz="0" w:space="0" w:color="auto"/>
                <w:right w:val="none" w:sz="0" w:space="0" w:color="auto"/>
              </w:divBdr>
            </w:div>
          </w:divsChild>
        </w:div>
        <w:div w:id="784739758">
          <w:marLeft w:val="0"/>
          <w:marRight w:val="0"/>
          <w:marTop w:val="0"/>
          <w:marBottom w:val="0"/>
          <w:divBdr>
            <w:top w:val="none" w:sz="0" w:space="0" w:color="auto"/>
            <w:left w:val="none" w:sz="0" w:space="0" w:color="auto"/>
            <w:bottom w:val="none" w:sz="0" w:space="0" w:color="auto"/>
            <w:right w:val="none" w:sz="0" w:space="0" w:color="auto"/>
          </w:divBdr>
        </w:div>
      </w:divsChild>
    </w:div>
    <w:div w:id="2061513328">
      <w:bodyDiv w:val="1"/>
      <w:marLeft w:val="0"/>
      <w:marRight w:val="0"/>
      <w:marTop w:val="0"/>
      <w:marBottom w:val="0"/>
      <w:divBdr>
        <w:top w:val="none" w:sz="0" w:space="0" w:color="auto"/>
        <w:left w:val="none" w:sz="0" w:space="0" w:color="auto"/>
        <w:bottom w:val="none" w:sz="0" w:space="0" w:color="auto"/>
        <w:right w:val="none" w:sz="0" w:space="0" w:color="auto"/>
      </w:divBdr>
    </w:div>
    <w:div w:id="2078934791">
      <w:bodyDiv w:val="1"/>
      <w:marLeft w:val="0"/>
      <w:marRight w:val="0"/>
      <w:marTop w:val="0"/>
      <w:marBottom w:val="0"/>
      <w:divBdr>
        <w:top w:val="none" w:sz="0" w:space="0" w:color="auto"/>
        <w:left w:val="none" w:sz="0" w:space="0" w:color="auto"/>
        <w:bottom w:val="none" w:sz="0" w:space="0" w:color="auto"/>
        <w:right w:val="none" w:sz="0" w:space="0" w:color="auto"/>
      </w:divBdr>
      <w:divsChild>
        <w:div w:id="556206476">
          <w:marLeft w:val="0"/>
          <w:marRight w:val="0"/>
          <w:marTop w:val="0"/>
          <w:marBottom w:val="0"/>
          <w:divBdr>
            <w:top w:val="none" w:sz="0" w:space="0" w:color="auto"/>
            <w:left w:val="none" w:sz="0" w:space="0" w:color="auto"/>
            <w:bottom w:val="none" w:sz="0" w:space="0" w:color="auto"/>
            <w:right w:val="none" w:sz="0" w:space="0" w:color="auto"/>
          </w:divBdr>
          <w:divsChild>
            <w:div w:id="17886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80/00014788.1982.9728809" TargetMode="External"/><Relationship Id="rId13" Type="http://schemas.openxmlformats.org/officeDocument/2006/relationships/hyperlink" Target="https://www.scopus.com/sourceid/56171?origin=resultslist" TargetMode="External"/><Relationship Id="rId18" Type="http://schemas.openxmlformats.org/officeDocument/2006/relationships/hyperlink" Target="https://www.emerald.com/insight/publication/issn/2049-372X" TargetMode="External"/><Relationship Id="rId26" Type="http://schemas.openxmlformats.org/officeDocument/2006/relationships/hyperlink" Target="https://www.emerald.com/insight/publication/issn/1832-5912" TargetMode="External"/><Relationship Id="rId3" Type="http://schemas.openxmlformats.org/officeDocument/2006/relationships/settings" Target="settings.xml"/><Relationship Id="rId21" Type="http://schemas.openxmlformats.org/officeDocument/2006/relationships/hyperlink" Target="javascript:;" TargetMode="External"/><Relationship Id="rId7" Type="http://schemas.openxmlformats.org/officeDocument/2006/relationships/image" Target="media/image3.png"/><Relationship Id="rId12" Type="http://schemas.openxmlformats.org/officeDocument/2006/relationships/hyperlink" Target="http://dx.doi.org/10.1016/j.techsoc.2025.102851" TargetMode="External"/><Relationship Id="rId17" Type="http://schemas.openxmlformats.org/officeDocument/2006/relationships/hyperlink" Target="https://www.emerald.com/insight/search?q=Sophia%20Xia%20Su" TargetMode="External"/><Relationship Id="rId25" Type="http://schemas.openxmlformats.org/officeDocument/2006/relationships/hyperlink" Target="https://www.emerald.com/insight/search?q=Ruchi%20Agarwal" TargetMode="External"/><Relationship Id="rId2" Type="http://schemas.openxmlformats.org/officeDocument/2006/relationships/styles" Target="styles.xml"/><Relationship Id="rId16" Type="http://schemas.openxmlformats.org/officeDocument/2006/relationships/hyperlink" Target="https://www.emerald.com/insight/search?q=Kevin%20Baird" TargetMode="External"/><Relationship Id="rId20" Type="http://schemas.openxmlformats.org/officeDocument/2006/relationships/hyperlink" Target="javascrip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copus.com/sourceid/18676?origin=resultslist" TargetMode="External"/><Relationship Id="rId24" Type="http://schemas.openxmlformats.org/officeDocument/2006/relationships/hyperlink" Target="https://doi.org/10.2308/ISSUES-2023-043" TargetMode="External"/><Relationship Id="rId5" Type="http://schemas.openxmlformats.org/officeDocument/2006/relationships/image" Target="media/image1.png"/><Relationship Id="rId15" Type="http://schemas.openxmlformats.org/officeDocument/2006/relationships/hyperlink" Target="https://www.emerald.com/insight/search?q=Nuraddeen%20Nuhu" TargetMode="External"/><Relationship Id="rId23" Type="http://schemas.openxmlformats.org/officeDocument/2006/relationships/hyperlink" Target="https://www.scopus.com/record/display.uri?eid=2-s2.0-85217802176&amp;origin=resultslist&amp;sort=plf-f&amp;src=s&amp;sot=b&amp;sdt=cl&amp;cluster=scosubjabbr%2C%22BUSI%22%2Ct%2Bscosubtype%2C%22ar%22%2Ct&amp;s=TITLE-ABS-KEY%28strategic+management+accounting%29&amp;sessionSearchId=5479606718b4ebe32083470675ad9d75&amp;relpos=31" TargetMode="External"/><Relationship Id="rId28" Type="http://schemas.openxmlformats.org/officeDocument/2006/relationships/hyperlink" Target="https://www.scopus.com/term/analyzer.uri?sort=plf-f&amp;src=s&amp;sid=5479606718b4ebe32083470675ad9d75&amp;sot=a&amp;sdt=a&amp;cluster=scosubjabbr%2c%22BUSI%22%2ct&amp;sl=46&amp;s=TITLE-ABS-KEY%28strategic+management+accounting%29&amp;origin=resultslist&amp;count=10&amp;analyzeResults=Analyze+results" TargetMode="External"/><Relationship Id="rId10" Type="http://schemas.openxmlformats.org/officeDocument/2006/relationships/hyperlink" Target="https://doi.org/10.1007/s44163-025-00366-x" TargetMode="External"/><Relationship Id="rId19" Type="http://schemas.openxmlformats.org/officeDocument/2006/relationships/hyperlink" Target="https://doi.org/10.1108/MEDAR-05-2024-2481" TargetMode="External"/><Relationship Id="rId4" Type="http://schemas.openxmlformats.org/officeDocument/2006/relationships/webSettings" Target="webSettings.xml"/><Relationship Id="rId9" Type="http://schemas.openxmlformats.org/officeDocument/2006/relationships/hyperlink" Target="https://doi.org/10.47649/vau.2022.v67.i4.11" TargetMode="External"/><Relationship Id="rId14" Type="http://schemas.openxmlformats.org/officeDocument/2006/relationships/hyperlink" Target="https://doi.org/10.59953/paperasia.v41i2b.430" TargetMode="External"/><Relationship Id="rId22" Type="http://schemas.openxmlformats.org/officeDocument/2006/relationships/hyperlink" Target="javascript:;" TargetMode="External"/><Relationship Id="rId27" Type="http://schemas.openxmlformats.org/officeDocument/2006/relationships/hyperlink" Target="https://doi.org/10.1108/JAOC-08-2022-0126"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4731</Words>
  <Characters>26973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Anel Toleubekova</dc:creator>
  <cp:keywords/>
  <dc:description/>
  <cp:lastModifiedBy>Admin</cp:lastModifiedBy>
  <cp:revision>6</cp:revision>
  <cp:lastPrinted>2025-08-18T03:29:00Z</cp:lastPrinted>
  <dcterms:created xsi:type="dcterms:W3CDTF">2025-08-26T05:01:00Z</dcterms:created>
  <dcterms:modified xsi:type="dcterms:W3CDTF">2025-08-27T12:39:00Z</dcterms:modified>
</cp:coreProperties>
</file>