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B522B" w14:textId="52217012" w:rsidR="003A5C53" w:rsidRPr="00A8669E" w:rsidRDefault="003A5C53" w:rsidP="00A8669E">
      <w:pPr>
        <w:spacing w:after="0" w:line="240" w:lineRule="auto"/>
        <w:jc w:val="both"/>
        <w:rPr>
          <w:rFonts w:ascii="Times New Roman" w:hAnsi="Times New Roman" w:cs="Times New Roman"/>
          <w:b/>
          <w:sz w:val="24"/>
          <w:szCs w:val="24"/>
          <w:lang w:eastAsia="zh-CN"/>
        </w:rPr>
      </w:pPr>
      <w:r w:rsidRPr="00A8669E">
        <w:rPr>
          <w:rFonts w:ascii="Times New Roman" w:hAnsi="Times New Roman" w:cs="Times New Roman"/>
          <w:b/>
          <w:sz w:val="24"/>
          <w:szCs w:val="24"/>
          <w:lang w:eastAsia="zh-CN"/>
        </w:rPr>
        <w:t>УДК: 341.9</w:t>
      </w:r>
    </w:p>
    <w:p w14:paraId="143A5679" w14:textId="77777777" w:rsidR="003A5C53" w:rsidRPr="00A8669E" w:rsidRDefault="003A5C53" w:rsidP="00A8669E">
      <w:pPr>
        <w:spacing w:after="0" w:line="240" w:lineRule="auto"/>
        <w:ind w:firstLine="426"/>
        <w:jc w:val="both"/>
        <w:rPr>
          <w:rFonts w:ascii="Times New Roman" w:hAnsi="Times New Roman" w:cs="Times New Roman"/>
          <w:i/>
          <w:iCs/>
          <w:sz w:val="24"/>
          <w:szCs w:val="24"/>
          <w:lang w:eastAsia="zh-CN"/>
        </w:rPr>
      </w:pPr>
    </w:p>
    <w:p w14:paraId="73248DF2" w14:textId="5B9C3F6E" w:rsidR="003A5C53" w:rsidRPr="0035535B" w:rsidRDefault="003A5C53" w:rsidP="00A8669E">
      <w:pPr>
        <w:spacing w:after="0" w:line="240" w:lineRule="auto"/>
        <w:jc w:val="center"/>
        <w:rPr>
          <w:rFonts w:ascii="Times New Roman" w:hAnsi="Times New Roman" w:cs="Times New Roman"/>
          <w:b/>
          <w:bCs/>
          <w:iCs/>
          <w:sz w:val="24"/>
          <w:szCs w:val="24"/>
        </w:rPr>
      </w:pPr>
      <w:bookmarkStart w:id="0" w:name="_GoBack"/>
      <w:r w:rsidRPr="0035535B">
        <w:rPr>
          <w:rFonts w:ascii="Times New Roman" w:hAnsi="Times New Roman" w:cs="Times New Roman"/>
          <w:b/>
          <w:bCs/>
          <w:iCs/>
          <w:sz w:val="24"/>
          <w:szCs w:val="24"/>
          <w:lang w:val="en-US" w:eastAsia="zh-CN"/>
        </w:rPr>
        <w:t>Feng</w:t>
      </w:r>
      <w:r w:rsidRPr="0035535B">
        <w:rPr>
          <w:rFonts w:ascii="Times New Roman" w:hAnsi="Times New Roman" w:cs="Times New Roman"/>
          <w:b/>
          <w:bCs/>
          <w:iCs/>
          <w:sz w:val="24"/>
          <w:szCs w:val="24"/>
          <w:lang w:eastAsia="zh-CN"/>
        </w:rPr>
        <w:t xml:space="preserve"> </w:t>
      </w:r>
      <w:r w:rsidRPr="0035535B">
        <w:rPr>
          <w:rFonts w:ascii="Times New Roman" w:hAnsi="Times New Roman" w:cs="Times New Roman"/>
          <w:b/>
          <w:bCs/>
          <w:iCs/>
          <w:sz w:val="24"/>
          <w:szCs w:val="24"/>
          <w:lang w:val="en-US" w:eastAsia="zh-CN"/>
        </w:rPr>
        <w:t>Jianhui</w:t>
      </w:r>
    </w:p>
    <w:p w14:paraId="5C667D6A" w14:textId="3062DBEF" w:rsidR="003A5C53" w:rsidRPr="00A8669E" w:rsidRDefault="003A5C53" w:rsidP="00A8669E">
      <w:pPr>
        <w:spacing w:after="0" w:line="240" w:lineRule="auto"/>
        <w:jc w:val="center"/>
        <w:rPr>
          <w:rFonts w:ascii="Times New Roman" w:eastAsia="Times New Roman" w:hAnsi="Times New Roman" w:cs="Times New Roman"/>
          <w:b/>
          <w:bCs/>
          <w:i/>
          <w:iCs/>
          <w:sz w:val="24"/>
          <w:szCs w:val="24"/>
        </w:rPr>
      </w:pPr>
      <w:r w:rsidRPr="00A8669E">
        <w:rPr>
          <w:rFonts w:ascii="Times New Roman" w:eastAsia="Times New Roman" w:hAnsi="Times New Roman" w:cs="Times New Roman"/>
          <w:i/>
          <w:iCs/>
          <w:sz w:val="24"/>
          <w:szCs w:val="24"/>
        </w:rPr>
        <w:t>магистрант кафедры юриспруденции ФИиП КазНПУ имени Абая</w:t>
      </w:r>
    </w:p>
    <w:p w14:paraId="62E63920" w14:textId="352A76DD" w:rsidR="003A5C53" w:rsidRPr="0035535B" w:rsidRDefault="003A5C53" w:rsidP="00A8669E">
      <w:pPr>
        <w:spacing w:after="0" w:line="240" w:lineRule="auto"/>
        <w:jc w:val="center"/>
        <w:rPr>
          <w:rFonts w:ascii="Times New Roman" w:eastAsia="Times New Roman" w:hAnsi="Times New Roman" w:cs="Times New Roman"/>
          <w:b/>
          <w:iCs/>
          <w:sz w:val="24"/>
          <w:szCs w:val="24"/>
        </w:rPr>
      </w:pPr>
      <w:r w:rsidRPr="00A8669E">
        <w:rPr>
          <w:rFonts w:ascii="Times New Roman" w:eastAsia="Times New Roman" w:hAnsi="Times New Roman" w:cs="Times New Roman"/>
          <w:i/>
          <w:iCs/>
          <w:sz w:val="24"/>
          <w:szCs w:val="24"/>
        </w:rPr>
        <w:t xml:space="preserve">Научный руководитель: к.ю.н., ассоц.профессор кафедры юриспруденции ФИиП КазНПУ имени Абая - </w:t>
      </w:r>
      <w:r w:rsidRPr="0035535B">
        <w:rPr>
          <w:rFonts w:ascii="Times New Roman" w:eastAsia="Times New Roman" w:hAnsi="Times New Roman" w:cs="Times New Roman"/>
          <w:b/>
          <w:iCs/>
          <w:sz w:val="24"/>
          <w:szCs w:val="24"/>
        </w:rPr>
        <w:t>Сайлибаева Ж.Ю.</w:t>
      </w:r>
    </w:p>
    <w:p w14:paraId="391EC7E3" w14:textId="77777777" w:rsidR="003A5C53" w:rsidRPr="00A8669E" w:rsidRDefault="003A5C53" w:rsidP="00A8669E">
      <w:pPr>
        <w:spacing w:after="0" w:line="240" w:lineRule="auto"/>
        <w:jc w:val="center"/>
        <w:rPr>
          <w:rFonts w:ascii="Times New Roman" w:eastAsia="Times New Roman" w:hAnsi="Times New Roman" w:cs="Times New Roman"/>
          <w:i/>
          <w:iCs/>
          <w:sz w:val="24"/>
          <w:szCs w:val="24"/>
        </w:rPr>
      </w:pPr>
    </w:p>
    <w:p w14:paraId="028144FA" w14:textId="51F234D0" w:rsidR="00602880" w:rsidRDefault="003A5C53" w:rsidP="00A8669E">
      <w:pPr>
        <w:spacing w:after="0" w:line="240" w:lineRule="auto"/>
        <w:jc w:val="center"/>
        <w:rPr>
          <w:rFonts w:ascii="Times New Roman" w:eastAsia="Calibri" w:hAnsi="Times New Roman" w:cs="Times New Roman"/>
          <w:b/>
          <w:bCs/>
          <w:sz w:val="24"/>
          <w:szCs w:val="24"/>
          <w:lang w:val="kk-KZ" w:eastAsia="zh-CN"/>
        </w:rPr>
      </w:pPr>
      <w:r w:rsidRPr="00A8669E">
        <w:rPr>
          <w:rFonts w:ascii="Times New Roman" w:eastAsia="Calibri" w:hAnsi="Times New Roman" w:cs="Times New Roman"/>
          <w:b/>
          <w:bCs/>
          <w:sz w:val="24"/>
          <w:szCs w:val="24"/>
          <w:lang w:val="kk-KZ" w:eastAsia="zh-CN"/>
        </w:rPr>
        <w:t>С</w:t>
      </w:r>
      <w:r w:rsidR="00A8669E" w:rsidRPr="00A8669E">
        <w:rPr>
          <w:rFonts w:ascii="Times New Roman" w:eastAsia="Calibri" w:hAnsi="Times New Roman" w:cs="Times New Roman"/>
          <w:b/>
          <w:bCs/>
          <w:sz w:val="24"/>
          <w:szCs w:val="24"/>
          <w:lang w:val="kk-KZ" w:eastAsia="zh-CN"/>
        </w:rPr>
        <w:t xml:space="preserve">равнительный анализ автономии воли и защиты интересов третьих лиц при выборе применимого права к имущественным отношениям супругов с иностранным элементом в </w:t>
      </w:r>
      <w:r w:rsidR="00A8669E">
        <w:rPr>
          <w:rFonts w:ascii="Times New Roman" w:eastAsia="Calibri" w:hAnsi="Times New Roman" w:cs="Times New Roman"/>
          <w:b/>
          <w:bCs/>
          <w:sz w:val="24"/>
          <w:szCs w:val="24"/>
          <w:lang w:val="kk-KZ" w:eastAsia="zh-CN"/>
        </w:rPr>
        <w:t>К</w:t>
      </w:r>
      <w:r w:rsidR="00A8669E" w:rsidRPr="00A8669E">
        <w:rPr>
          <w:rFonts w:ascii="Times New Roman" w:eastAsia="Calibri" w:hAnsi="Times New Roman" w:cs="Times New Roman"/>
          <w:b/>
          <w:bCs/>
          <w:sz w:val="24"/>
          <w:szCs w:val="24"/>
          <w:lang w:val="kk-KZ" w:eastAsia="zh-CN"/>
        </w:rPr>
        <w:t xml:space="preserve">итае и </w:t>
      </w:r>
      <w:r w:rsidR="00A8669E">
        <w:rPr>
          <w:rFonts w:ascii="Times New Roman" w:eastAsia="Calibri" w:hAnsi="Times New Roman" w:cs="Times New Roman"/>
          <w:b/>
          <w:bCs/>
          <w:sz w:val="24"/>
          <w:szCs w:val="24"/>
          <w:lang w:val="kk-KZ" w:eastAsia="zh-CN"/>
        </w:rPr>
        <w:t>К</w:t>
      </w:r>
      <w:r w:rsidR="00A8669E" w:rsidRPr="00A8669E">
        <w:rPr>
          <w:rFonts w:ascii="Times New Roman" w:eastAsia="Calibri" w:hAnsi="Times New Roman" w:cs="Times New Roman"/>
          <w:b/>
          <w:bCs/>
          <w:sz w:val="24"/>
          <w:szCs w:val="24"/>
          <w:lang w:val="kk-KZ" w:eastAsia="zh-CN"/>
        </w:rPr>
        <w:t>азахстане</w:t>
      </w:r>
    </w:p>
    <w:bookmarkEnd w:id="0"/>
    <w:p w14:paraId="53E102CD" w14:textId="6BD412AD" w:rsidR="00A8669E" w:rsidRDefault="00A8669E" w:rsidP="00A8669E">
      <w:pPr>
        <w:spacing w:after="0" w:line="240" w:lineRule="auto"/>
        <w:jc w:val="center"/>
        <w:rPr>
          <w:rFonts w:ascii="Times New Roman" w:eastAsia="Calibri" w:hAnsi="Times New Roman" w:cs="Times New Roman"/>
          <w:b/>
          <w:bCs/>
          <w:sz w:val="24"/>
          <w:szCs w:val="24"/>
          <w:lang w:val="kk-KZ" w:eastAsia="zh-CN"/>
        </w:rPr>
      </w:pPr>
      <w:r>
        <w:rPr>
          <w:rFonts w:ascii="Times New Roman" w:eastAsia="Calibri" w:hAnsi="Times New Roman" w:cs="Times New Roman"/>
          <w:b/>
          <w:bCs/>
          <w:sz w:val="24"/>
          <w:szCs w:val="24"/>
          <w:lang w:val="kk-KZ" w:eastAsia="zh-CN"/>
        </w:rPr>
        <w:t>*</w:t>
      </w:r>
    </w:p>
    <w:p w14:paraId="41DD775A" w14:textId="68387EF3" w:rsidR="00A8669E" w:rsidRPr="00A8669E" w:rsidRDefault="00A8669E" w:rsidP="00A8669E">
      <w:pPr>
        <w:spacing w:after="0" w:line="240" w:lineRule="auto"/>
        <w:jc w:val="center"/>
        <w:rPr>
          <w:rFonts w:ascii="Times New Roman" w:eastAsia="Calibri" w:hAnsi="Times New Roman" w:cs="Times New Roman"/>
          <w:b/>
          <w:bCs/>
          <w:sz w:val="24"/>
          <w:szCs w:val="24"/>
          <w:lang w:val="kk-KZ" w:eastAsia="zh-CN"/>
        </w:rPr>
      </w:pPr>
      <w:r w:rsidRPr="00A8669E">
        <w:rPr>
          <w:rFonts w:ascii="Times New Roman" w:hAnsi="Times New Roman" w:cs="Times New Roman"/>
          <w:b/>
          <w:bCs/>
          <w:sz w:val="24"/>
          <w:szCs w:val="24"/>
          <w:lang w:val="en-US"/>
        </w:rPr>
        <w:t>Comparative analysis of party autonomy and the protection of third-party interests in the choice of law applicable to the property relations of spouses with a foreign element in China and Kazakhstan</w:t>
      </w:r>
    </w:p>
    <w:p w14:paraId="42D73D6C" w14:textId="18CB79EB" w:rsidR="00602880" w:rsidRPr="00A8669E" w:rsidRDefault="00602880" w:rsidP="00A8669E">
      <w:pPr>
        <w:spacing w:after="0" w:line="240" w:lineRule="auto"/>
        <w:ind w:firstLine="426"/>
        <w:jc w:val="both"/>
        <w:rPr>
          <w:rFonts w:ascii="Times New Roman" w:hAnsi="Times New Roman" w:cs="Times New Roman"/>
          <w:b/>
          <w:bCs/>
          <w:i/>
          <w:iCs/>
          <w:sz w:val="24"/>
          <w:szCs w:val="24"/>
          <w:highlight w:val="yellow"/>
          <w:lang w:val="en-US"/>
        </w:rPr>
      </w:pPr>
    </w:p>
    <w:p w14:paraId="2E6AA3A8" w14:textId="77777777" w:rsid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b/>
          <w:bCs/>
          <w:sz w:val="24"/>
          <w:szCs w:val="24"/>
          <w:lang w:val="kk-KZ" w:eastAsia="zh-CN"/>
        </w:rPr>
      </w:pPr>
      <w:r w:rsidRPr="00A8669E">
        <w:rPr>
          <w:rFonts w:ascii="Times New Roman" w:eastAsia="Times New Roman" w:hAnsi="Times New Roman" w:cs="Times New Roman"/>
          <w:b/>
          <w:bCs/>
          <w:sz w:val="24"/>
          <w:szCs w:val="24"/>
          <w:lang w:val="kk-KZ" w:eastAsia="zh-CN"/>
        </w:rPr>
        <w:t>Аннотация</w:t>
      </w:r>
    </w:p>
    <w:p w14:paraId="1578BADD" w14:textId="5EE265DC"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i/>
          <w:sz w:val="24"/>
          <w:szCs w:val="24"/>
          <w:lang w:val="kk-KZ" w:eastAsia="zh-CN"/>
        </w:rPr>
      </w:pPr>
      <w:r w:rsidRPr="00A8669E">
        <w:rPr>
          <w:rFonts w:ascii="Times New Roman" w:eastAsia="Times New Roman" w:hAnsi="Times New Roman" w:cs="Times New Roman"/>
          <w:i/>
          <w:sz w:val="24"/>
          <w:szCs w:val="24"/>
          <w:lang w:val="kk-KZ" w:eastAsia="zh-CN"/>
        </w:rPr>
        <w:t>В условиях глобализации и расширения трансграничных социальных и экономических связей имущественные отношения супругов с иностранным элементом приобретают особую значимость в системе международного частного права. Принцип автономии воли, предоставляющий супругам право самостоятельно выбирать применимое право, является одним из ключевых инструментов регулирования таких отношений. Однако в случаях, когда имущественные отношения затрагивают интересы третьих лиц, чрезмерное расширение автономии воли может привести к нарушению их законных прав и подрыву стабильности гражданского оборота. В статье проводится сравнительный анализ правового регулирования Китайской Народной Республики и Республики Казахстан в сфере выбора применимого права к имущественным отношениям супругов, осложнённых иностранным элементом. Особое внимание уделяется разграничению внутреннего и внешнего аспектов имущественных отношений супругов, а также проблеме обеспечения баланса между автономией воли и защитой интересов третьих лиц. Обосновывается необходимость введения дополнительных ограничений автономии воли, направленных на предотвращение злоупотреблений и обеспечение справедливости правоприменения.</w:t>
      </w:r>
    </w:p>
    <w:p w14:paraId="0CA8CDBA" w14:textId="77777777"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i/>
          <w:sz w:val="24"/>
          <w:szCs w:val="24"/>
          <w:lang w:val="kk-KZ" w:eastAsia="zh-CN"/>
        </w:rPr>
      </w:pPr>
      <w:r w:rsidRPr="00A8669E">
        <w:rPr>
          <w:rFonts w:ascii="Times New Roman" w:eastAsia="Times New Roman" w:hAnsi="Times New Roman" w:cs="Times New Roman"/>
          <w:b/>
          <w:bCs/>
          <w:sz w:val="24"/>
          <w:szCs w:val="24"/>
          <w:lang w:val="kk-KZ" w:eastAsia="zh-CN"/>
        </w:rPr>
        <w:t>Ключевые слова:</w:t>
      </w:r>
      <w:r w:rsidRPr="00A8669E">
        <w:rPr>
          <w:rFonts w:ascii="Times New Roman" w:eastAsia="Times New Roman" w:hAnsi="Times New Roman" w:cs="Times New Roman"/>
          <w:sz w:val="24"/>
          <w:szCs w:val="24"/>
          <w:lang w:val="kk-KZ" w:eastAsia="zh-CN"/>
        </w:rPr>
        <w:t xml:space="preserve"> </w:t>
      </w:r>
      <w:r w:rsidRPr="00A8669E">
        <w:rPr>
          <w:rFonts w:ascii="Times New Roman" w:eastAsia="Times New Roman" w:hAnsi="Times New Roman" w:cs="Times New Roman"/>
          <w:i/>
          <w:sz w:val="24"/>
          <w:szCs w:val="24"/>
          <w:lang w:val="kk-KZ" w:eastAsia="zh-CN"/>
        </w:rPr>
        <w:t>международное частное право; имущественные отношения супругов; автономия воли; применимое право; защита третьих лиц; сравнительное право</w:t>
      </w:r>
    </w:p>
    <w:p w14:paraId="2920191D" w14:textId="77777777" w:rsidR="003A5C53" w:rsidRPr="00A8669E" w:rsidRDefault="003A5C53" w:rsidP="00A8669E">
      <w:pPr>
        <w:tabs>
          <w:tab w:val="left" w:pos="567"/>
          <w:tab w:val="left" w:pos="1214"/>
        </w:tabs>
        <w:spacing w:after="0" w:line="240" w:lineRule="auto"/>
        <w:ind w:firstLine="426"/>
        <w:jc w:val="both"/>
        <w:rPr>
          <w:rFonts w:ascii="Times New Roman" w:hAnsi="Times New Roman" w:cs="Times New Roman"/>
          <w:sz w:val="24"/>
          <w:szCs w:val="24"/>
          <w:lang w:val="kk-KZ"/>
        </w:rPr>
      </w:pPr>
    </w:p>
    <w:p w14:paraId="677573C6" w14:textId="77777777" w:rsid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b/>
          <w:bCs/>
          <w:sz w:val="24"/>
          <w:szCs w:val="24"/>
          <w:lang w:val="kk-KZ" w:eastAsia="zh-CN"/>
        </w:rPr>
      </w:pPr>
      <w:r w:rsidRPr="00A8669E">
        <w:rPr>
          <w:rFonts w:ascii="Times New Roman" w:eastAsia="Times New Roman" w:hAnsi="Times New Roman" w:cs="Times New Roman"/>
          <w:b/>
          <w:bCs/>
          <w:sz w:val="24"/>
          <w:szCs w:val="24"/>
          <w:lang w:val="kk-KZ" w:eastAsia="zh-CN"/>
        </w:rPr>
        <w:t>Abstract</w:t>
      </w:r>
    </w:p>
    <w:p w14:paraId="04AD7570" w14:textId="5BEB284A"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i/>
          <w:sz w:val="24"/>
          <w:szCs w:val="24"/>
          <w:lang w:val="kk-KZ" w:eastAsia="zh-CN"/>
        </w:rPr>
      </w:pPr>
      <w:r w:rsidRPr="00A8669E">
        <w:rPr>
          <w:rFonts w:ascii="Times New Roman" w:eastAsia="Times New Roman" w:hAnsi="Times New Roman" w:cs="Times New Roman"/>
          <w:i/>
          <w:sz w:val="24"/>
          <w:szCs w:val="24"/>
          <w:lang w:val="kk-KZ" w:eastAsia="zh-CN"/>
        </w:rPr>
        <w:t>In the context of globalization and the expansion of cross-border social and economic relations, matrimonial property relations involving a foreign element have become increasingly significant within the system of private international law. The principle of party autonomy, which allows spouses to choose the applicable law, serves as one of the key instruments for regulating such relations. However, in cases where matrimonial property relations affect the interests of third parties, an excessive expansion of party autonomy may lead to the violation of their legitimate rights and undermine the stability of civil transactions. This article provides a comparative analysis of the legal regulation in the People’s Republic of China and the Republic of Kazakhstan regarding the choice of law applicable to matrimonial property relations involving a foreign element. Particular attention is paid to the distinction between internal and external aspects of such relations, as well as to the issue of balancing party autonomy and the protection of third-party interests. The study substantiates the necessity of introducing additional limitations on party autonomy aimed at preventing abuse of rights and ensuring fairness in legal regulation.</w:t>
      </w:r>
    </w:p>
    <w:p w14:paraId="59648137" w14:textId="1FE76B6B"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i/>
          <w:sz w:val="24"/>
          <w:szCs w:val="24"/>
          <w:lang w:val="kk-KZ" w:eastAsia="zh-CN"/>
        </w:rPr>
      </w:pPr>
      <w:r w:rsidRPr="00A8669E">
        <w:rPr>
          <w:rFonts w:ascii="Times New Roman" w:eastAsia="Times New Roman" w:hAnsi="Times New Roman" w:cs="Times New Roman"/>
          <w:b/>
          <w:bCs/>
          <w:sz w:val="24"/>
          <w:szCs w:val="24"/>
          <w:lang w:val="kk-KZ" w:eastAsia="zh-CN"/>
        </w:rPr>
        <w:t>Key</w:t>
      </w:r>
      <w:r w:rsidR="00A8669E">
        <w:rPr>
          <w:rFonts w:ascii="Times New Roman" w:eastAsia="Times New Roman" w:hAnsi="Times New Roman" w:cs="Times New Roman"/>
          <w:b/>
          <w:bCs/>
          <w:sz w:val="24"/>
          <w:szCs w:val="24"/>
          <w:lang w:val="kk-KZ" w:eastAsia="zh-CN"/>
        </w:rPr>
        <w:t xml:space="preserve"> </w:t>
      </w:r>
      <w:r w:rsidRPr="00A8669E">
        <w:rPr>
          <w:rFonts w:ascii="Times New Roman" w:eastAsia="Times New Roman" w:hAnsi="Times New Roman" w:cs="Times New Roman"/>
          <w:b/>
          <w:bCs/>
          <w:sz w:val="24"/>
          <w:szCs w:val="24"/>
          <w:lang w:val="kk-KZ" w:eastAsia="zh-CN"/>
        </w:rPr>
        <w:t>words</w:t>
      </w:r>
      <w:r w:rsidRPr="00A8669E">
        <w:rPr>
          <w:rFonts w:ascii="Times New Roman" w:eastAsia="Times New Roman" w:hAnsi="Times New Roman" w:cs="Times New Roman"/>
          <w:sz w:val="24"/>
          <w:szCs w:val="24"/>
          <w:lang w:val="kk-KZ" w:eastAsia="zh-CN"/>
        </w:rPr>
        <w:t xml:space="preserve">: </w:t>
      </w:r>
      <w:r w:rsidRPr="00A8669E">
        <w:rPr>
          <w:rFonts w:ascii="Times New Roman" w:eastAsia="Times New Roman" w:hAnsi="Times New Roman" w:cs="Times New Roman"/>
          <w:i/>
          <w:sz w:val="24"/>
          <w:szCs w:val="24"/>
          <w:lang w:val="kk-KZ" w:eastAsia="zh-CN"/>
        </w:rPr>
        <w:t>private international law; matrimonial property relations; party autonomy; applicable law; protection of third parties; comparative law</w:t>
      </w:r>
    </w:p>
    <w:p w14:paraId="7FBE0DEB" w14:textId="77777777" w:rsidR="00602880" w:rsidRPr="00A8669E" w:rsidRDefault="00602880"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val="kk-KZ" w:eastAsia="zh-CN"/>
        </w:rPr>
      </w:pPr>
    </w:p>
    <w:p w14:paraId="19DBB148" w14:textId="45B1F23A"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lastRenderedPageBreak/>
        <w:t>Продолжая анализ, следует отметить, что особую роль в рассматриваемой проблеме играет степень информированности третьих лиц о правовом режиме имущества супругов. В условиях трансграничных отношений третьи лица зачастую не обладают полной информацией о семейном статусе контрагента, его имущественном режиме, а также о применимом праве, выбранном супругами. Это особенно актуально в ситуациях, когда один из супругов вступает в обязательственные отношения от своего имени, не раскрывая информации о существовании брачного договора или соглашения о применимом праве. В таких случаях возникает риск нарушения разумных ожиданий третьих лиц, которые исходят из презумпции определённого правового режима имущества [1].</w:t>
      </w:r>
    </w:p>
    <w:p w14:paraId="1C2CDBDE" w14:textId="56A674E9"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Следует учитывать, что в международной практике защита доверия третьих лиц рассматривается как один из ключевых элементов обеспечения стабильности гражданского оборота. Если третье лицо действовало добросовестно и не могло знать о наличии внутренних соглашений между супругами, правовая система должна обеспечивать защиту его интересов. В противном случае повышается уровень правовой неопределённости, что негативно влияет на развитие международных экономических связей [2]. Таким образом, вопрос информированности третьих лиц напрямую связан с проблемой распределения рисков между участниками правоотношений.</w:t>
      </w:r>
    </w:p>
    <w:p w14:paraId="7FFB9CC6" w14:textId="4ADFE051"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этой связи особое значение приобретает вопрос о соотношении принципа автономии воли и принципа защиты доверия. С одной стороны, супруги вправе самостоятельно определять правовой режим своих имущественных отношений, что отражает их частную автономию. С другой стороны, реализация этого права не должна осуществляться в ущерб третьим лицам, которые не участвуют в соглашении и не могут влиять на его содержание. Поэтому в научной доктрине всё чаще подчёркивается необходимость ограничения автономии воли в тех случаях, когда она выходит за пределы внутреннего регулирования и затрагивает внешние имущественные отношения [3].</w:t>
      </w:r>
    </w:p>
    <w:p w14:paraId="72BA62EB" w14:textId="09AD5CD2"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Дополнительную сложность вносит трансграничный характер современных имущественных отношений, при котором элементы одного и того же правоотношения могут быть распределены между различными государствами. Например, супруги могут иметь гражданство одного государства, проживать в другом, а их имущество находиться в третьем. В таких условиях выбор применимого права становится не только юридическим, но и стратегическим инструментом, позволяющим влиять на распределение имущественных прав и обязанностей. Это создаёт предпосылки для так называемого «форум-шоппинга» и выбора наиболее благоприятной юрисдикции [4].</w:t>
      </w:r>
    </w:p>
    <w:p w14:paraId="7371CF79" w14:textId="5ACE8C26"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китайском праве данная проблема усугубляется тем, что законодательство предоставляет достаточно широкие возможности для выбора применимого права, но при этом не устанавливает чётких механизмов учёта интересов третьих лиц. В результате возникает ситуация, при которой внутренние соглашения супругов могут оказывать косвенное влияние на права третьих лиц, несмотря на формальное отсутствие прямой юридической связи между ними [3]. В казахстанском праве, хотя и наблюдается более осторожный подход к применению автономии воли, также отсутствуют детализированные нормы, регулирующие последствия выбора применимого права для третьих лиц [4].</w:t>
      </w:r>
    </w:p>
    <w:p w14:paraId="703149C5" w14:textId="40E37FEC"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Следует также обратить внимание на проблему динамичности соединительных факторов. В современных условиях такие факторы, как место жительства, местонахождение имущества или центр жизненных интересов, могут изменяться достаточно быстро. Это приводит к тому, что применимое право может быть изменено уже после возникновения обязательств перед третьими лицами. Такая ситуация создаёт дополнительные риски, поскольку третье лицо не может предвидеть изменение правового режима имущественных отношений супругов [5].</w:t>
      </w:r>
    </w:p>
    <w:p w14:paraId="2DE7EB4D" w14:textId="72AF4CB5"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 xml:space="preserve">Особую опасность представляет возможность злоупотребления правом со стороны супругов. В частности, они могут намеренно изменять соединительные факторы или выбирать определённое применимое право с целью уклонения от исполнения обязательств. Например, путём перевода активов в другую юрисдикцию или изменения места жительства можно добиться применения более благоприятного правового режима. В таких случаях автономия </w:t>
      </w:r>
      <w:r w:rsidRPr="00A8669E">
        <w:rPr>
          <w:rFonts w:ascii="Times New Roman" w:eastAsia="Times New Roman" w:hAnsi="Times New Roman" w:cs="Times New Roman"/>
          <w:sz w:val="24"/>
          <w:szCs w:val="24"/>
          <w:lang w:eastAsia="zh-CN"/>
        </w:rPr>
        <w:lastRenderedPageBreak/>
        <w:t>воли превращается из инструмента обеспечения справедливости в средство недобросовестного поведения [6].</w:t>
      </w:r>
    </w:p>
    <w:p w14:paraId="353AAFA2" w14:textId="4A1EC300"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связи с этим в международной доктрине всё большее распространение получает подход, согласно которому автономия воли должна рассматриваться не как абсолютное право, а как право, ограниченное принципами добросовестности, разумности и справедливости. Это означает, что выбор применимого права должен оцениваться не только с формальной точки зрения, но и с учётом его последствий для третьих лиц. Если будет установлено, что выбор права направлен на причинение вреда или получение необоснованного преимущества, он не должен признаваться действительным [7].</w:t>
      </w:r>
    </w:p>
    <w:p w14:paraId="27709858" w14:textId="192BAB99"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Кроме того, важным инструментом ограничения автономии воли является принцип публичного порядка. Он позволяет национальным судам отказаться от применения иностранного права, если его применение приводит к результатам, противоречащим основам правовой системы. В контексте защиты третьих лиц данный принцип может использоваться для предотвращения ситуаций, при которых их права оказываются существенно ущемлёнными вследствие выбора иностранного права [8].</w:t>
      </w:r>
    </w:p>
    <w:p w14:paraId="25912E2E" w14:textId="70F6C660"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 xml:space="preserve">Сравнительный анализ показывает, что как в китайском, так и в казахстанском праве отсутствует чётко разработанная система механизмов, направленных на защиту третьих лиц в условиях реализации автономии воли. Это свидетельствует о том, что данная проблема носит не только национальный, но и универсальный характер. В условиях глобализации требуется выработка единых подходов к регулированию подобных отношений, что </w:t>
      </w:r>
      <w:r w:rsidR="00A8669E" w:rsidRPr="00A8669E">
        <w:rPr>
          <w:rFonts w:ascii="Times New Roman" w:eastAsia="Times New Roman" w:hAnsi="Times New Roman" w:cs="Times New Roman"/>
          <w:sz w:val="24"/>
          <w:szCs w:val="24"/>
          <w:lang w:eastAsia="zh-CN"/>
        </w:rPr>
        <w:t>возможно,</w:t>
      </w:r>
      <w:r w:rsidRPr="00A8669E">
        <w:rPr>
          <w:rFonts w:ascii="Times New Roman" w:eastAsia="Times New Roman" w:hAnsi="Times New Roman" w:cs="Times New Roman"/>
          <w:sz w:val="24"/>
          <w:szCs w:val="24"/>
          <w:lang w:eastAsia="zh-CN"/>
        </w:rPr>
        <w:t xml:space="preserve"> как на уровне национального законодательства, так и в рамках международного сотрудничества [9].</w:t>
      </w:r>
    </w:p>
    <w:p w14:paraId="4DA555C1" w14:textId="56D92C56"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качестве одного из направлений совершенствования правового регулирования можно рассматривать введение обязательной регистрации соглашений о выборе применимого права. Такая мера позволит обеспечить публичность информации о правовом режиме имущества супругов и снизить риск нарушения интересов третьих лиц. Кроме того, целесообразно закрепить на законодательном уровне правило о том, что изменение применимого права не должно иметь обратной силы в отношении прав третьих лиц, возникших до такого изменения [10].</w:t>
      </w:r>
    </w:p>
    <w:p w14:paraId="5AD7AC0C" w14:textId="6486B99B"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заключение следует отметить, что проблема соотношения автономии воли супругов и защиты интересов третьих лиц в имущественных отношениях, осложнённых иностранным элементом, приобретает всё более актуальный характер в условиях глобализации и усложнения трансграничных правовых связей. Проведённый сравнительный анализ правового регулирования Китайской Народной Республики и Республики Казахстан позволяет сделать вывод о том, что, несмотря на признание автономии воли как одного из ключевых принципов международного частного права, её реализация в сфере семейных имущественных отношений остаётся недостаточно сбалансированной с точки зрения защиты третьих лиц.</w:t>
      </w:r>
    </w:p>
    <w:p w14:paraId="1EF02785" w14:textId="1F8B4B66"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обоих правопорядках автономия воли выступает важным инструментом обеспечения гибкости правового регулирования и реализации частных интересов супругов. Она позволяет учитывать специфику конкретной жизненной ситуации, повышает предсказуемость правовых последствий и способствует развитию трансграничного гражданского оборота. Однако одновременно с этим расширение сферы её применения приводит к возникновению значительных рисков, связанных с возможным злоупотреблением правом, особенно в тех случаях, когда имущественные отношения супругов выходят за пределы внутренней сферы и затрагивают интересы третьих лиц.</w:t>
      </w:r>
    </w:p>
    <w:p w14:paraId="7E28E703" w14:textId="3DD84499"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Ключевой проблемой, выявленной в ходе исследования, является отсутствие чёткого нормативного разграничения между внутренними и внешними аспектами имущественных отношений супругов. В результате соглашения супругов о выборе применимого права, предназначенные для регулирования их внутренних отношений, могут косвенно или прямо влиять на права третьих лиц, которые не являются участниками этих соглашений и не имеют возможности повлиять на их содержание. Это приводит к нарушению принципа правовой определённости и подрыву доверия к гражданскому обороту.</w:t>
      </w:r>
    </w:p>
    <w:p w14:paraId="02336C28" w14:textId="77777777"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lastRenderedPageBreak/>
        <w:t>Особое значение в данной связи приобретает защита добросовестных третьих лиц. Современные правовые системы исходят из необходимости обеспечения стабильности гражданских отношений и защиты разумных ожиданий участников оборота. Если третье лицо действовало добросовестно и не могло знать о существовании внутренних договорённостей между супругами, правовая система должна гарантировать защиту его интересов. В противном случае повышается уровень неопределённости и снижается эффективность правового регулирования трансграничных отношений.</w:t>
      </w:r>
    </w:p>
    <w:p w14:paraId="09C8FCFF" w14:textId="2CCC726E"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Сравнение китайского и казахстанского законодательства показывает, что обе правовые системы в настоящее время не содержат достаточных механизмов, направленных на комплексную защиту третьих лиц в условиях реализации автономии воли. При этом китайское право характеризуется большей гибкостью и широтой применения автономии воли, тогда как казахстанское право в большей степени ориентировано на использование объективных соединительных факторов. Однако ни один из этих подходов не обеспечивает в полной мере необходимого баланса между интересами супругов и третьих лиц.</w:t>
      </w:r>
    </w:p>
    <w:p w14:paraId="7E9E7A88" w14:textId="3A4EBF6D"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В этой связи представляется целесообразным развитие правового регулирования в нескольких направлениях. Во-первых, необходимо нормативное закрепление принципа, согласно которому автономия воли супругов ограничивается в тех случаях, когда её реализация может причинить вред третьим лицам. Во-вторых, следует расширить применение принципов добросовестности, разумности и запрета злоупотребления правом при оценке действительности выбора применимого права. В-третьих, важным шагом может стать введение механизмов публичности имущественных соглашений супругов, включая их регистрацию или иные формы доведения информации до третьих лиц.</w:t>
      </w:r>
    </w:p>
    <w:p w14:paraId="20CFB793" w14:textId="7A128DCA"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Кроме того, особую роль играет судебная практика, которая должна формировать единообразные подходы к разрешению подобных споров. Судебные органы должны учитывать не только формальные критерии выбора применимого права, но и фактические обстоятельства дела, в том числе степень осведомлённости третьих лиц и характер их взаимодействия с супругами. Такой подход позволит обеспечить более справедливое и сбалансированное правоприменение.</w:t>
      </w:r>
    </w:p>
    <w:p w14:paraId="5BC236A0" w14:textId="34D66C61" w:rsidR="00602880" w:rsidRPr="00A8669E" w:rsidRDefault="00004CFB" w:rsidP="00A8669E">
      <w:pPr>
        <w:tabs>
          <w:tab w:val="left" w:pos="567"/>
          <w:tab w:val="left" w:pos="1214"/>
        </w:tabs>
        <w:spacing w:after="0" w:line="240" w:lineRule="auto"/>
        <w:ind w:firstLine="426"/>
        <w:jc w:val="both"/>
        <w:rPr>
          <w:rFonts w:ascii="Times New Roman" w:eastAsia="Times New Roman" w:hAnsi="Times New Roman" w:cs="Times New Roman"/>
          <w:sz w:val="24"/>
          <w:szCs w:val="24"/>
          <w:lang w:eastAsia="zh-CN"/>
        </w:rPr>
      </w:pPr>
      <w:r w:rsidRPr="00A8669E">
        <w:rPr>
          <w:rFonts w:ascii="Times New Roman" w:eastAsia="Times New Roman" w:hAnsi="Times New Roman" w:cs="Times New Roman"/>
          <w:sz w:val="24"/>
          <w:szCs w:val="24"/>
          <w:lang w:eastAsia="zh-CN"/>
        </w:rPr>
        <w:t>Таким образом, достижение баланса между автономией воли и защитой интересов третьих лиц является одной из ключевых задач современного международного частного права. Решение данной проблемы требует комплексного подхода, включающего совершенствование законодательства, развитие судебной практики и учёт международного опыта. Только при условии гармоничного сочетания гибкости правового регулирования и защиты прав участников гражданского оборота возможно обеспечение стабильности и предсказуемости трансграничных имущественных отношений.</w:t>
      </w:r>
    </w:p>
    <w:p w14:paraId="44B6891E" w14:textId="77777777" w:rsidR="00602880" w:rsidRPr="00A8669E" w:rsidRDefault="00602880" w:rsidP="00A8669E">
      <w:pPr>
        <w:pStyle w:val="a9"/>
        <w:shd w:val="clear" w:color="auto" w:fill="FFFFFF"/>
        <w:spacing w:before="0" w:beforeAutospacing="0" w:after="0" w:afterAutospacing="0"/>
        <w:ind w:firstLine="426"/>
        <w:jc w:val="both"/>
        <w:rPr>
          <w:lang w:val="kk-KZ" w:eastAsia="zh-CN"/>
        </w:rPr>
      </w:pPr>
    </w:p>
    <w:p w14:paraId="707E3305" w14:textId="46255486" w:rsidR="00602880" w:rsidRDefault="00004CFB" w:rsidP="00A8669E">
      <w:pPr>
        <w:pStyle w:val="a9"/>
        <w:shd w:val="clear" w:color="auto" w:fill="FFFFFF"/>
        <w:spacing w:before="0" w:beforeAutospacing="0" w:after="0" w:afterAutospacing="0"/>
        <w:jc w:val="center"/>
        <w:rPr>
          <w:b/>
          <w:bCs/>
          <w:lang w:val="kk-KZ" w:eastAsia="zh-CN"/>
        </w:rPr>
      </w:pPr>
      <w:r w:rsidRPr="00A8669E">
        <w:rPr>
          <w:b/>
          <w:bCs/>
          <w:lang w:val="kk-KZ" w:eastAsia="zh-CN"/>
        </w:rPr>
        <w:t>Список литературы</w:t>
      </w:r>
    </w:p>
    <w:p w14:paraId="21287811" w14:textId="77777777" w:rsidR="00A8669E" w:rsidRPr="00A8669E" w:rsidRDefault="00A8669E" w:rsidP="00A8669E">
      <w:pPr>
        <w:pStyle w:val="a9"/>
        <w:shd w:val="clear" w:color="auto" w:fill="FFFFFF"/>
        <w:spacing w:before="0" w:beforeAutospacing="0" w:after="0" w:afterAutospacing="0"/>
        <w:ind w:firstLine="426"/>
        <w:jc w:val="both"/>
        <w:rPr>
          <w:b/>
          <w:bCs/>
          <w:lang w:val="kk-KZ" w:eastAsia="zh-CN"/>
        </w:rPr>
      </w:pPr>
    </w:p>
    <w:p w14:paraId="03A5AF73" w14:textId="4F2B67D8" w:rsidR="00602880" w:rsidRPr="00A8669E" w:rsidRDefault="00004CFB" w:rsidP="00A8669E">
      <w:pPr>
        <w:pStyle w:val="a9"/>
        <w:numPr>
          <w:ilvl w:val="0"/>
          <w:numId w:val="1"/>
        </w:numPr>
        <w:shd w:val="clear" w:color="auto" w:fill="FFFFFF"/>
        <w:spacing w:before="0" w:beforeAutospacing="0" w:after="0" w:afterAutospacing="0"/>
        <w:ind w:left="0" w:firstLine="426"/>
        <w:jc w:val="both"/>
        <w:rPr>
          <w:lang w:eastAsia="zh-CN"/>
        </w:rPr>
      </w:pPr>
      <w:r w:rsidRPr="00A8669E">
        <w:rPr>
          <w:lang w:eastAsia="zh-CN"/>
        </w:rPr>
        <w:t>Дмитриева Г.К. Международное частное право.</w:t>
      </w:r>
      <w:r w:rsidR="003A5C53" w:rsidRPr="00A8669E">
        <w:rPr>
          <w:lang w:eastAsia="zh-CN"/>
        </w:rPr>
        <w:t xml:space="preserve"> Учебник. Издание 5-е, переработанное и дополненное.</w:t>
      </w:r>
      <w:r w:rsidRPr="00A8669E">
        <w:rPr>
          <w:lang w:eastAsia="zh-CN"/>
        </w:rPr>
        <w:t xml:space="preserve"> – М.: </w:t>
      </w:r>
      <w:r w:rsidR="003A5C53" w:rsidRPr="00A8669E">
        <w:rPr>
          <w:lang w:eastAsia="zh-CN"/>
        </w:rPr>
        <w:t>Проспект</w:t>
      </w:r>
      <w:r w:rsidRPr="00A8669E">
        <w:rPr>
          <w:lang w:eastAsia="zh-CN"/>
        </w:rPr>
        <w:t>, 202</w:t>
      </w:r>
      <w:r w:rsidR="003A5C53" w:rsidRPr="00A8669E">
        <w:rPr>
          <w:lang w:eastAsia="zh-CN"/>
        </w:rPr>
        <w:t>1</w:t>
      </w:r>
      <w:r w:rsidRPr="00A8669E">
        <w:rPr>
          <w:lang w:eastAsia="zh-CN"/>
        </w:rPr>
        <w:t>.</w:t>
      </w:r>
      <w:r w:rsidR="003A5C53" w:rsidRPr="00A8669E">
        <w:rPr>
          <w:lang w:eastAsia="zh-CN"/>
        </w:rPr>
        <w:t xml:space="preserve"> – 281с. // </w:t>
      </w:r>
      <w:hyperlink r:id="rId8" w:history="1">
        <w:r w:rsidR="003A5C53" w:rsidRPr="00A8669E">
          <w:rPr>
            <w:rStyle w:val="ad"/>
            <w:lang w:eastAsia="zh-CN"/>
          </w:rPr>
          <w:t>https://books.yandex.kz/books/sVhIgdxx</w:t>
        </w:r>
      </w:hyperlink>
      <w:r w:rsidR="003A5C53" w:rsidRPr="00A8669E">
        <w:rPr>
          <w:lang w:eastAsia="zh-CN"/>
        </w:rPr>
        <w:t xml:space="preserve"> </w:t>
      </w:r>
      <w:r w:rsidRPr="00A8669E">
        <w:rPr>
          <w:lang w:eastAsia="zh-CN"/>
        </w:rPr>
        <w:t xml:space="preserve"> </w:t>
      </w:r>
    </w:p>
    <w:p w14:paraId="06487CA3" w14:textId="60046AC9" w:rsidR="00602880" w:rsidRPr="00A8669E" w:rsidRDefault="00004CFB" w:rsidP="00A8669E">
      <w:pPr>
        <w:pStyle w:val="a9"/>
        <w:numPr>
          <w:ilvl w:val="0"/>
          <w:numId w:val="1"/>
        </w:numPr>
        <w:shd w:val="clear" w:color="auto" w:fill="FFFFFF"/>
        <w:spacing w:before="0" w:beforeAutospacing="0" w:after="0" w:afterAutospacing="0"/>
        <w:ind w:left="0" w:firstLine="426"/>
        <w:jc w:val="both"/>
        <w:rPr>
          <w:lang w:eastAsia="zh-CN"/>
        </w:rPr>
      </w:pPr>
      <w:r w:rsidRPr="00A8669E">
        <w:rPr>
          <w:lang w:eastAsia="zh-CN"/>
        </w:rPr>
        <w:t>Лебедев С.Н. Международное частное право. – М.: Юрайт, 2019</w:t>
      </w:r>
      <w:r w:rsidR="00A21CE3" w:rsidRPr="00A8669E">
        <w:rPr>
          <w:lang w:eastAsia="zh-CN"/>
        </w:rPr>
        <w:t xml:space="preserve"> // </w:t>
      </w:r>
      <w:hyperlink r:id="rId9" w:history="1">
        <w:r w:rsidR="00A21CE3" w:rsidRPr="00A8669E">
          <w:rPr>
            <w:rStyle w:val="ad"/>
          </w:rPr>
          <w:t>https://право.информ2000.рф/ino/ino.htm</w:t>
        </w:r>
      </w:hyperlink>
      <w:r w:rsidR="00A21CE3" w:rsidRPr="00A8669E">
        <w:t xml:space="preserve"> </w:t>
      </w:r>
    </w:p>
    <w:p w14:paraId="7F192ECA" w14:textId="187AA2EF" w:rsidR="009314FB" w:rsidRPr="00A8669E" w:rsidRDefault="009314FB" w:rsidP="00A8669E">
      <w:pPr>
        <w:pStyle w:val="a9"/>
        <w:numPr>
          <w:ilvl w:val="0"/>
          <w:numId w:val="1"/>
        </w:numPr>
        <w:shd w:val="clear" w:color="auto" w:fill="FFFFFF"/>
        <w:spacing w:before="0" w:beforeAutospacing="0" w:after="0" w:afterAutospacing="0"/>
        <w:ind w:left="0" w:firstLine="426"/>
        <w:jc w:val="both"/>
        <w:rPr>
          <w:lang w:val="en-US" w:eastAsia="zh-CN"/>
        </w:rPr>
      </w:pPr>
      <w:r w:rsidRPr="00A8669E">
        <w:rPr>
          <w:lang w:val="en-US"/>
        </w:rPr>
        <w:t>Law Of The Application Of Law For Foreign-Related Civil Relations Of The People’s Republic Of China [</w:t>
      </w:r>
      <w:r w:rsidRPr="00A8669E">
        <w:t>Электронный</w:t>
      </w:r>
      <w:r w:rsidRPr="00A8669E">
        <w:rPr>
          <w:lang w:val="en-US"/>
        </w:rPr>
        <w:t xml:space="preserve"> </w:t>
      </w:r>
      <w:r w:rsidRPr="00A8669E">
        <w:t>ресурс</w:t>
      </w:r>
      <w:r w:rsidRPr="00A8669E">
        <w:rPr>
          <w:lang w:val="en-US"/>
        </w:rPr>
        <w:t xml:space="preserve">]: adopted at the 17th ses sion of the Standing Committee of the 11th National People’s Congress on October 28, 2010 – </w:t>
      </w:r>
      <w:r w:rsidRPr="00A8669E">
        <w:t>Доступ</w:t>
      </w:r>
      <w:r w:rsidRPr="00A8669E">
        <w:rPr>
          <w:lang w:val="en-US"/>
        </w:rPr>
        <w:t xml:space="preserve"> </w:t>
      </w:r>
      <w:r w:rsidRPr="00A8669E">
        <w:t>из</w:t>
      </w:r>
      <w:r w:rsidRPr="00A8669E">
        <w:rPr>
          <w:lang w:val="en-US"/>
        </w:rPr>
        <w:t xml:space="preserve"> Chinalawinfo Database – URL: </w:t>
      </w:r>
      <w:hyperlink r:id="rId10" w:history="1">
        <w:r w:rsidRPr="00A8669E">
          <w:rPr>
            <w:rStyle w:val="ad"/>
            <w:lang w:val="en-US"/>
          </w:rPr>
          <w:t>https://www.lawinfochina.com/index.aspx</w:t>
        </w:r>
      </w:hyperlink>
      <w:r w:rsidRPr="00A8669E">
        <w:rPr>
          <w:lang w:val="en-US"/>
        </w:rPr>
        <w:t xml:space="preserve"> . </w:t>
      </w:r>
    </w:p>
    <w:p w14:paraId="71CAC91B" w14:textId="2D7A3ABE" w:rsidR="00602880" w:rsidRPr="00A8669E" w:rsidRDefault="009314FB" w:rsidP="00A8669E">
      <w:pPr>
        <w:pStyle w:val="ae"/>
        <w:numPr>
          <w:ilvl w:val="0"/>
          <w:numId w:val="1"/>
        </w:numPr>
        <w:spacing w:after="0"/>
        <w:ind w:left="0" w:firstLine="426"/>
        <w:jc w:val="both"/>
        <w:rPr>
          <w:szCs w:val="24"/>
        </w:rPr>
      </w:pPr>
      <w:r w:rsidRPr="00A8669E">
        <w:rPr>
          <w:bCs/>
          <w:color w:val="000000"/>
          <w:szCs w:val="24"/>
        </w:rPr>
        <w:t>Гражданский кодекс Республики Казахстан (особенная часть)</w:t>
      </w:r>
      <w:r w:rsidRPr="00A8669E">
        <w:rPr>
          <w:b/>
          <w:color w:val="000000"/>
          <w:szCs w:val="24"/>
        </w:rPr>
        <w:t xml:space="preserve"> </w:t>
      </w:r>
      <w:r w:rsidRPr="00A8669E">
        <w:rPr>
          <w:color w:val="000000"/>
          <w:szCs w:val="24"/>
        </w:rPr>
        <w:t xml:space="preserve">Кодекс Республики Казахстан от 1 июля 1999 года № 409 // </w:t>
      </w:r>
      <w:r w:rsidRPr="00A8669E">
        <w:rPr>
          <w:szCs w:val="24"/>
          <w:lang w:eastAsia="zh-CN"/>
        </w:rPr>
        <w:t xml:space="preserve"> </w:t>
      </w:r>
      <w:hyperlink r:id="rId11" w:history="1">
        <w:r w:rsidRPr="00A8669E">
          <w:rPr>
            <w:rStyle w:val="ad"/>
            <w:szCs w:val="24"/>
            <w:lang w:eastAsia="zh-CN"/>
          </w:rPr>
          <w:t>https://adilet.zan.kz/rus/docs/K990000409_</w:t>
        </w:r>
      </w:hyperlink>
      <w:r w:rsidRPr="00A8669E">
        <w:rPr>
          <w:szCs w:val="24"/>
          <w:lang w:eastAsia="zh-CN"/>
        </w:rPr>
        <w:t xml:space="preserve"> </w:t>
      </w:r>
    </w:p>
    <w:p w14:paraId="0B920FAA" w14:textId="3BD4221C" w:rsidR="00602880" w:rsidRPr="00A8669E" w:rsidRDefault="00004CFB" w:rsidP="00A8669E">
      <w:pPr>
        <w:pStyle w:val="a9"/>
        <w:numPr>
          <w:ilvl w:val="0"/>
          <w:numId w:val="1"/>
        </w:numPr>
        <w:shd w:val="clear" w:color="auto" w:fill="FFFFFF"/>
        <w:spacing w:before="0" w:beforeAutospacing="0" w:after="0" w:afterAutospacing="0"/>
        <w:ind w:left="0" w:firstLine="426"/>
        <w:jc w:val="both"/>
        <w:rPr>
          <w:lang w:eastAsia="zh-CN"/>
        </w:rPr>
      </w:pPr>
      <w:r w:rsidRPr="00A8669E">
        <w:rPr>
          <w:lang w:eastAsia="zh-CN"/>
        </w:rPr>
        <w:t xml:space="preserve">Богуславский М.М. </w:t>
      </w:r>
      <w:r w:rsidR="009314FB" w:rsidRPr="00A8669E">
        <w:rPr>
          <w:color w:val="000000"/>
        </w:rPr>
        <w:t>Международное частное право: Учебник. - 4-е изд., перераб. и доп. - M: Юристъ, 2002. - 462 с.</w:t>
      </w:r>
      <w:r w:rsidRPr="00A8669E">
        <w:rPr>
          <w:lang w:eastAsia="zh-CN"/>
        </w:rPr>
        <w:t xml:space="preserve"> </w:t>
      </w:r>
    </w:p>
    <w:p w14:paraId="2CB9950A" w14:textId="77777777" w:rsidR="009314FB" w:rsidRPr="00A8669E" w:rsidRDefault="009314FB" w:rsidP="00A8669E">
      <w:pPr>
        <w:pStyle w:val="a9"/>
        <w:numPr>
          <w:ilvl w:val="0"/>
          <w:numId w:val="1"/>
        </w:numPr>
        <w:shd w:val="clear" w:color="auto" w:fill="FFFFFF"/>
        <w:spacing w:before="0" w:beforeAutospacing="0" w:after="0" w:afterAutospacing="0"/>
        <w:ind w:left="0" w:firstLine="426"/>
        <w:jc w:val="both"/>
        <w:rPr>
          <w:lang w:eastAsia="zh-CN"/>
        </w:rPr>
      </w:pPr>
      <w:r w:rsidRPr="00A8669E">
        <w:t xml:space="preserve">Гражданское право Республики Казахстан: опыт теоретического исследования. Монография в 6 томах. Том 4 / М.К. Сулейменов. Часть вторая. Теоретическая. Раздел 3. </w:t>
      </w:r>
      <w:r w:rsidRPr="00A8669E">
        <w:lastRenderedPageBreak/>
        <w:t>Гражданское право в современном мире: общие проблемы и отдельные институты. – Алматы: Казахстанский Международный Арбитраж, 2021. – 352 с.</w:t>
      </w:r>
    </w:p>
    <w:p w14:paraId="5D56367B" w14:textId="3D0BC3A8" w:rsidR="0038178D" w:rsidRPr="00A8669E" w:rsidRDefault="0038178D" w:rsidP="00A8669E">
      <w:pPr>
        <w:pStyle w:val="a9"/>
        <w:numPr>
          <w:ilvl w:val="0"/>
          <w:numId w:val="1"/>
        </w:numPr>
        <w:shd w:val="clear" w:color="auto" w:fill="FFFFFF"/>
        <w:spacing w:before="0" w:beforeAutospacing="0" w:after="0" w:afterAutospacing="0"/>
        <w:ind w:left="0" w:firstLine="426"/>
        <w:jc w:val="both"/>
        <w:rPr>
          <w:lang w:val="en-US" w:eastAsia="zh-CN"/>
        </w:rPr>
      </w:pPr>
      <w:r w:rsidRPr="00A8669E">
        <w:rPr>
          <w:lang w:val="en-US"/>
        </w:rPr>
        <w:t xml:space="preserve">Symeon C. Symeonides The Oxford Commentaries on American Law. Oxford University Press 2016 // </w:t>
      </w:r>
      <w:hyperlink r:id="rId12" w:history="1">
        <w:r w:rsidRPr="00A8669E">
          <w:rPr>
            <w:rStyle w:val="ad"/>
            <w:lang w:val="en-US"/>
          </w:rPr>
          <w:t>https://api.pageplace.de/preview/DT0400.9780190496739_A30388616/preview-9780190496739_A30388616.pdf</w:t>
        </w:r>
      </w:hyperlink>
      <w:r w:rsidRPr="00A8669E">
        <w:rPr>
          <w:lang w:val="en-US"/>
        </w:rPr>
        <w:t xml:space="preserve"> </w:t>
      </w:r>
    </w:p>
    <w:p w14:paraId="0018E90A" w14:textId="77777777" w:rsidR="0038178D" w:rsidRPr="00A8669E" w:rsidRDefault="0038178D" w:rsidP="00A8669E">
      <w:pPr>
        <w:pStyle w:val="a9"/>
        <w:numPr>
          <w:ilvl w:val="0"/>
          <w:numId w:val="1"/>
        </w:numPr>
        <w:shd w:val="clear" w:color="auto" w:fill="FFFFFF"/>
        <w:spacing w:before="0" w:beforeAutospacing="0" w:after="0" w:afterAutospacing="0"/>
        <w:ind w:left="0" w:firstLine="426"/>
        <w:jc w:val="both"/>
        <w:rPr>
          <w:lang w:val="en-US" w:eastAsia="zh-CN"/>
        </w:rPr>
      </w:pPr>
      <w:r w:rsidRPr="00A8669E">
        <w:rPr>
          <w:shd w:val="clear" w:color="auto" w:fill="FFFFFF"/>
          <w:lang w:val="en-US"/>
        </w:rPr>
        <w:t>Book Type, Edited Book. Publication Date, Sep 21, </w:t>
      </w:r>
      <w:r w:rsidRPr="00A8669E">
        <w:rPr>
          <w:rStyle w:val="ac"/>
          <w:i w:val="0"/>
          <w:iCs w:val="0"/>
          <w:shd w:val="clear" w:color="auto" w:fill="FFFFFF"/>
          <w:lang w:val="en-US"/>
        </w:rPr>
        <w:t>2017</w:t>
      </w:r>
      <w:r w:rsidRPr="00A8669E">
        <w:rPr>
          <w:shd w:val="clear" w:color="auto" w:fill="FFFFFF"/>
          <w:lang w:val="en-US"/>
        </w:rPr>
        <w:t>. Deposit Date, Nov 21, 2018. Publisher, </w:t>
      </w:r>
      <w:r w:rsidRPr="00A8669E">
        <w:rPr>
          <w:rStyle w:val="ac"/>
          <w:i w:val="0"/>
          <w:iCs w:val="0"/>
          <w:shd w:val="clear" w:color="auto" w:fill="FFFFFF"/>
          <w:lang w:val="en-US"/>
        </w:rPr>
        <w:t>Oxford</w:t>
      </w:r>
      <w:r w:rsidRPr="00A8669E">
        <w:rPr>
          <w:shd w:val="clear" w:color="auto" w:fill="FFFFFF"/>
          <w:lang w:val="en-US"/>
        </w:rPr>
        <w:t> University Press. Edition, 15th. ISBN, 9780199678990.</w:t>
      </w:r>
    </w:p>
    <w:p w14:paraId="4D4992B5" w14:textId="07118DE1" w:rsidR="00602880" w:rsidRPr="00A8669E" w:rsidRDefault="0038178D" w:rsidP="00A8669E">
      <w:pPr>
        <w:pStyle w:val="a9"/>
        <w:numPr>
          <w:ilvl w:val="0"/>
          <w:numId w:val="1"/>
        </w:numPr>
        <w:shd w:val="clear" w:color="auto" w:fill="FFFFFF"/>
        <w:spacing w:before="0" w:beforeAutospacing="0" w:after="0" w:afterAutospacing="0"/>
        <w:ind w:left="0" w:firstLine="426"/>
        <w:jc w:val="both"/>
        <w:rPr>
          <w:lang w:val="en-US" w:eastAsia="zh-CN"/>
        </w:rPr>
      </w:pPr>
      <w:r w:rsidRPr="00A8669E">
        <w:rPr>
          <w:rStyle w:val="ac"/>
          <w:i w:val="0"/>
          <w:iCs w:val="0"/>
          <w:shd w:val="clear" w:color="auto" w:fill="FFFFFF"/>
          <w:lang w:val="en-US"/>
        </w:rPr>
        <w:t>Basedow, Jürgen: The Law of Open Societies</w:t>
      </w:r>
      <w:r w:rsidRPr="00A8669E">
        <w:rPr>
          <w:shd w:val="clear" w:color="auto" w:fill="FFFFFF"/>
          <w:lang w:val="en-US"/>
        </w:rPr>
        <w:t xml:space="preserve">: Private Ordering and Public Regulation in the Conflict of Laws. Leiden 2015// </w:t>
      </w:r>
      <w:hyperlink r:id="rId13" w:history="1">
        <w:r w:rsidRPr="00A8669E">
          <w:rPr>
            <w:rStyle w:val="ad"/>
            <w:shd w:val="clear" w:color="auto" w:fill="FFFFFF"/>
            <w:lang w:val="en-US"/>
          </w:rPr>
          <w:t>https://www.mohrsiebeck.com/en/article/basedow-juergen-the-law-of-open-societies-private-ordering-and-public-regulation-in-the-conflict-of-laws-leiden-2015-101628003372517x14912063552040/</w:t>
        </w:r>
      </w:hyperlink>
      <w:r w:rsidRPr="00A8669E">
        <w:rPr>
          <w:color w:val="474747"/>
          <w:shd w:val="clear" w:color="auto" w:fill="FFFFFF"/>
          <w:lang w:val="en-US"/>
        </w:rPr>
        <w:t xml:space="preserve"> </w:t>
      </w:r>
    </w:p>
    <w:p w14:paraId="1A8E0BD6" w14:textId="0898A014" w:rsidR="00602880" w:rsidRPr="00A8669E" w:rsidRDefault="00004CFB" w:rsidP="00A8669E">
      <w:pPr>
        <w:pStyle w:val="a9"/>
        <w:numPr>
          <w:ilvl w:val="0"/>
          <w:numId w:val="1"/>
        </w:numPr>
        <w:shd w:val="clear" w:color="auto" w:fill="FFFFFF"/>
        <w:spacing w:before="0" w:beforeAutospacing="0" w:after="0" w:afterAutospacing="0"/>
        <w:ind w:left="0" w:firstLine="426"/>
        <w:jc w:val="both"/>
        <w:rPr>
          <w:lang w:val="en-US" w:eastAsia="zh-CN"/>
        </w:rPr>
      </w:pPr>
      <w:r w:rsidRPr="00A8669E">
        <w:rPr>
          <w:lang w:val="en-US" w:eastAsia="zh-CN"/>
        </w:rPr>
        <w:t xml:space="preserve">von Bar C., Mankowski P. </w:t>
      </w:r>
      <w:r w:rsidR="00421C07" w:rsidRPr="00A8669E">
        <w:rPr>
          <w:shd w:val="clear" w:color="auto" w:fill="FFFFFF"/>
          <w:lang w:val="en-US"/>
        </w:rPr>
        <w:t>The impressive book offers a comprehensive analysis of the current framework of </w:t>
      </w:r>
      <w:r w:rsidR="00421C07" w:rsidRPr="00A8669E">
        <w:rPr>
          <w:rStyle w:val="ac"/>
          <w:b/>
          <w:bCs/>
          <w:i w:val="0"/>
          <w:iCs w:val="0"/>
          <w:shd w:val="clear" w:color="auto" w:fill="FFFFFF"/>
          <w:lang w:val="en-US"/>
        </w:rPr>
        <w:t>Private International Law</w:t>
      </w:r>
      <w:r w:rsidR="00421C07" w:rsidRPr="00A8669E">
        <w:rPr>
          <w:shd w:val="clear" w:color="auto" w:fill="FFFFFF"/>
          <w:lang w:val="en-US"/>
        </w:rPr>
        <w:t> concepts and rules in specific areas of law</w:t>
      </w:r>
      <w:r w:rsidR="0038178D" w:rsidRPr="00A8669E">
        <w:rPr>
          <w:lang w:val="en-US" w:eastAsia="zh-CN"/>
        </w:rPr>
        <w:t xml:space="preserve"> // </w:t>
      </w:r>
      <w:hyperlink r:id="rId14" w:history="1">
        <w:r w:rsidR="0038178D" w:rsidRPr="00A8669E">
          <w:rPr>
            <w:rStyle w:val="ad"/>
            <w:lang w:val="en-US" w:eastAsia="zh-CN"/>
          </w:rPr>
          <w:t>https://conflictoflaws.net/2019/out-now-von-bar-mankowski-internationales-privatrecht-2nd-edition-2019/?print=print</w:t>
        </w:r>
      </w:hyperlink>
      <w:r w:rsidR="0038178D" w:rsidRPr="00A8669E">
        <w:rPr>
          <w:lang w:val="en-US" w:eastAsia="zh-CN"/>
        </w:rPr>
        <w:t xml:space="preserve"> </w:t>
      </w:r>
    </w:p>
    <w:p w14:paraId="5668E1AA" w14:textId="77777777" w:rsidR="00602880" w:rsidRPr="00A8669E" w:rsidRDefault="00602880" w:rsidP="00A8669E">
      <w:pPr>
        <w:pStyle w:val="a3"/>
        <w:ind w:left="0" w:firstLine="426"/>
        <w:rPr>
          <w:sz w:val="24"/>
          <w:szCs w:val="24"/>
          <w:lang w:val="en-US" w:eastAsia="zh-CN"/>
        </w:rPr>
      </w:pPr>
    </w:p>
    <w:sectPr w:rsidR="00602880" w:rsidRPr="00A8669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B1064" w14:textId="77777777" w:rsidR="00DF04C6" w:rsidRDefault="00DF04C6">
      <w:pPr>
        <w:spacing w:line="240" w:lineRule="auto"/>
      </w:pPr>
      <w:r>
        <w:separator/>
      </w:r>
    </w:p>
  </w:endnote>
  <w:endnote w:type="continuationSeparator" w:id="0">
    <w:p w14:paraId="45629CDD" w14:textId="77777777" w:rsidR="00DF04C6" w:rsidRDefault="00DF0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6819" w14:textId="77777777" w:rsidR="00DF04C6" w:rsidRDefault="00DF04C6">
      <w:pPr>
        <w:spacing w:after="0"/>
      </w:pPr>
      <w:r>
        <w:separator/>
      </w:r>
    </w:p>
  </w:footnote>
  <w:footnote w:type="continuationSeparator" w:id="0">
    <w:p w14:paraId="67F2D97E" w14:textId="77777777" w:rsidR="00DF04C6" w:rsidRDefault="00DF0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47372"/>
    <w:multiLevelType w:val="hybridMultilevel"/>
    <w:tmpl w:val="678E25B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0C"/>
    <w:rsid w:val="97BFC7C2"/>
    <w:rsid w:val="9A381731"/>
    <w:rsid w:val="D6BB7922"/>
    <w:rsid w:val="E7F5C6EF"/>
    <w:rsid w:val="F5AFDAEC"/>
    <w:rsid w:val="FFFF5439"/>
    <w:rsid w:val="00004CFB"/>
    <w:rsid w:val="00007814"/>
    <w:rsid w:val="00051CCE"/>
    <w:rsid w:val="00067130"/>
    <w:rsid w:val="0007019A"/>
    <w:rsid w:val="0009489D"/>
    <w:rsid w:val="000A2B15"/>
    <w:rsid w:val="000B37F9"/>
    <w:rsid w:val="000E7963"/>
    <w:rsid w:val="00112A17"/>
    <w:rsid w:val="001267B7"/>
    <w:rsid w:val="00140B36"/>
    <w:rsid w:val="00141C81"/>
    <w:rsid w:val="0015091E"/>
    <w:rsid w:val="00176F9A"/>
    <w:rsid w:val="001C3C64"/>
    <w:rsid w:val="001D640C"/>
    <w:rsid w:val="001D79E3"/>
    <w:rsid w:val="0022672E"/>
    <w:rsid w:val="002344B1"/>
    <w:rsid w:val="002B1CF5"/>
    <w:rsid w:val="003372BD"/>
    <w:rsid w:val="003463E5"/>
    <w:rsid w:val="0035535B"/>
    <w:rsid w:val="00357CC4"/>
    <w:rsid w:val="0038178D"/>
    <w:rsid w:val="003A5C53"/>
    <w:rsid w:val="003A75B8"/>
    <w:rsid w:val="003B0343"/>
    <w:rsid w:val="003D61F9"/>
    <w:rsid w:val="003E53C9"/>
    <w:rsid w:val="0040775A"/>
    <w:rsid w:val="004103A5"/>
    <w:rsid w:val="00421C07"/>
    <w:rsid w:val="00440932"/>
    <w:rsid w:val="00454113"/>
    <w:rsid w:val="004552F4"/>
    <w:rsid w:val="004805BA"/>
    <w:rsid w:val="00486183"/>
    <w:rsid w:val="004B28AA"/>
    <w:rsid w:val="004C7BDE"/>
    <w:rsid w:val="004D25BB"/>
    <w:rsid w:val="005B3B8E"/>
    <w:rsid w:val="005E23C3"/>
    <w:rsid w:val="0060171E"/>
    <w:rsid w:val="00602880"/>
    <w:rsid w:val="00625138"/>
    <w:rsid w:val="00643737"/>
    <w:rsid w:val="00676C3E"/>
    <w:rsid w:val="006976F3"/>
    <w:rsid w:val="006A1199"/>
    <w:rsid w:val="006B4EA5"/>
    <w:rsid w:val="006D6594"/>
    <w:rsid w:val="007723C5"/>
    <w:rsid w:val="00794961"/>
    <w:rsid w:val="00871118"/>
    <w:rsid w:val="008759CE"/>
    <w:rsid w:val="008C7732"/>
    <w:rsid w:val="0092515B"/>
    <w:rsid w:val="0092675C"/>
    <w:rsid w:val="009314FB"/>
    <w:rsid w:val="00965F26"/>
    <w:rsid w:val="00966585"/>
    <w:rsid w:val="0097393E"/>
    <w:rsid w:val="009B22FF"/>
    <w:rsid w:val="00A115D1"/>
    <w:rsid w:val="00A21CE3"/>
    <w:rsid w:val="00A36C32"/>
    <w:rsid w:val="00A47F05"/>
    <w:rsid w:val="00A8669E"/>
    <w:rsid w:val="00A953B5"/>
    <w:rsid w:val="00AD007D"/>
    <w:rsid w:val="00AF181B"/>
    <w:rsid w:val="00BC09A9"/>
    <w:rsid w:val="00BE0E9F"/>
    <w:rsid w:val="00BE5167"/>
    <w:rsid w:val="00C04BA4"/>
    <w:rsid w:val="00C160D4"/>
    <w:rsid w:val="00C3090C"/>
    <w:rsid w:val="00C451EB"/>
    <w:rsid w:val="00C811D5"/>
    <w:rsid w:val="00C84FB9"/>
    <w:rsid w:val="00CA70FC"/>
    <w:rsid w:val="00CB0D06"/>
    <w:rsid w:val="00CE2E9A"/>
    <w:rsid w:val="00D008D4"/>
    <w:rsid w:val="00D2270C"/>
    <w:rsid w:val="00D34884"/>
    <w:rsid w:val="00D631B1"/>
    <w:rsid w:val="00D67F5D"/>
    <w:rsid w:val="00D849B7"/>
    <w:rsid w:val="00D96B4F"/>
    <w:rsid w:val="00DF04C6"/>
    <w:rsid w:val="00DF5DD6"/>
    <w:rsid w:val="00EA229C"/>
    <w:rsid w:val="00EE352C"/>
    <w:rsid w:val="00F0333D"/>
    <w:rsid w:val="00F039E5"/>
    <w:rsid w:val="00F356DD"/>
    <w:rsid w:val="00F434CA"/>
    <w:rsid w:val="00F550CC"/>
    <w:rsid w:val="00F8053E"/>
    <w:rsid w:val="00FB1527"/>
    <w:rsid w:val="00FE1C15"/>
    <w:rsid w:val="02AF69EA"/>
    <w:rsid w:val="05FF03A4"/>
    <w:rsid w:val="21C7414D"/>
    <w:rsid w:val="27B324B1"/>
    <w:rsid w:val="296B5818"/>
    <w:rsid w:val="2ADF1810"/>
    <w:rsid w:val="3A6C2075"/>
    <w:rsid w:val="3BBBC2FC"/>
    <w:rsid w:val="3E67379D"/>
    <w:rsid w:val="3ED9311A"/>
    <w:rsid w:val="4E3E294A"/>
    <w:rsid w:val="5D697183"/>
    <w:rsid w:val="7EF56414"/>
    <w:rsid w:val="7FB560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ED23"/>
  <w15:docId w15:val="{AD866773-C22C-4F08-8061-EFDD18CD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ru-RU"/>
    </w:rPr>
  </w:style>
  <w:style w:type="paragraph" w:styleId="1">
    <w:name w:val="heading 1"/>
    <w:basedOn w:val="a"/>
    <w:link w:val="10"/>
    <w:uiPriority w:val="9"/>
    <w:qFormat/>
    <w:pPr>
      <w:widowControl w:val="0"/>
      <w:autoSpaceDE w:val="0"/>
      <w:autoSpaceDN w:val="0"/>
      <w:spacing w:after="0" w:line="275" w:lineRule="exact"/>
      <w:ind w:left="140"/>
      <w:outlineLvl w:val="0"/>
    </w:pPr>
    <w:rPr>
      <w:rFonts w:ascii="Times New Roman" w:eastAsia="Times New Roman" w:hAnsi="Times New Roman" w:cs="Times New Roman"/>
      <w:b/>
      <w:bCs/>
      <w:i/>
      <w:iCs/>
      <w:sz w:val="24"/>
      <w:szCs w:val="24"/>
      <w:lang w:val="kk-KZ"/>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spacing w:after="0" w:line="240" w:lineRule="auto"/>
      <w:ind w:left="342" w:firstLine="566"/>
      <w:jc w:val="both"/>
    </w:pPr>
    <w:rPr>
      <w:rFonts w:ascii="Times New Roman" w:eastAsia="Times New Roman" w:hAnsi="Times New Roman" w:cs="Times New Roman"/>
      <w:sz w:val="28"/>
      <w:szCs w:val="28"/>
      <w:lang w:val="kk-KZ"/>
    </w:r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Emphasis"/>
    <w:basedOn w:val="a0"/>
    <w:uiPriority w:val="20"/>
    <w:qFormat/>
    <w:rPr>
      <w:i/>
      <w:iCs/>
    </w:rPr>
  </w:style>
  <w:style w:type="character" w:styleId="ad">
    <w:name w:val="Hyperlink"/>
    <w:basedOn w:val="a0"/>
    <w:uiPriority w:val="99"/>
    <w:unhideWhenUsed/>
    <w:rPr>
      <w:color w:val="0563C1" w:themeColor="hyperlink"/>
      <w:u w:val="single"/>
    </w:rPr>
  </w:style>
  <w:style w:type="paragraph" w:styleId="ae">
    <w:name w:val="List Paragraph"/>
    <w:basedOn w:val="a"/>
    <w:uiPriority w:val="1"/>
    <w:qFormat/>
    <w:pPr>
      <w:ind w:left="720"/>
      <w:contextualSpacing/>
    </w:pPr>
    <w:rPr>
      <w:rFonts w:ascii="Times New Roman" w:hAnsi="Times New Roman" w:cs="Times New Roman"/>
      <w:sz w:val="24"/>
      <w:szCs w:val="27"/>
    </w:rPr>
  </w:style>
  <w:style w:type="character" w:customStyle="1" w:styleId="a4">
    <w:name w:val="Основной текст Знак"/>
    <w:basedOn w:val="a0"/>
    <w:link w:val="a3"/>
    <w:uiPriority w:val="1"/>
    <w:rPr>
      <w:rFonts w:ascii="Times New Roman" w:eastAsia="Times New Roman" w:hAnsi="Times New Roman" w:cs="Times New Roman"/>
      <w:sz w:val="28"/>
      <w:szCs w:val="28"/>
      <w:lang w:val="kk-KZ"/>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qFormat/>
  </w:style>
  <w:style w:type="character" w:styleId="af">
    <w:name w:val="Placeholder Text"/>
    <w:basedOn w:val="a0"/>
    <w:uiPriority w:val="99"/>
    <w:semiHidden/>
    <w:qFormat/>
    <w:rPr>
      <w:color w:val="808080"/>
    </w:rPr>
  </w:style>
  <w:style w:type="character" w:customStyle="1" w:styleId="11">
    <w:name w:val="未处理的提及1"/>
    <w:basedOn w:val="a0"/>
    <w:uiPriority w:val="99"/>
    <w:semiHidden/>
    <w:unhideWhenUsed/>
    <w:qFormat/>
    <w:rPr>
      <w:color w:val="605E5C"/>
      <w:shd w:val="clear" w:color="auto" w:fill="E1DFDD"/>
    </w:rPr>
  </w:style>
  <w:style w:type="character" w:customStyle="1" w:styleId="mord">
    <w:name w:val="mord"/>
    <w:basedOn w:val="a0"/>
  </w:style>
  <w:style w:type="character" w:customStyle="1" w:styleId="mopen">
    <w:name w:val="mopen"/>
    <w:basedOn w:val="a0"/>
  </w:style>
  <w:style w:type="character" w:customStyle="1" w:styleId="mpunct">
    <w:name w:val="mpunct"/>
    <w:basedOn w:val="a0"/>
  </w:style>
  <w:style w:type="character" w:customStyle="1" w:styleId="vlist-s">
    <w:name w:val="vlist-s"/>
    <w:basedOn w:val="a0"/>
  </w:style>
  <w:style w:type="character" w:customStyle="1" w:styleId="mclose">
    <w:name w:val="mclose"/>
    <w:basedOn w:val="a0"/>
  </w:style>
  <w:style w:type="character" w:customStyle="1" w:styleId="mrel">
    <w:name w:val="mrel"/>
    <w:basedOn w:val="a0"/>
  </w:style>
  <w:style w:type="character" w:customStyle="1" w:styleId="mbin">
    <w:name w:val="mbin"/>
    <w:basedOn w:val="a0"/>
  </w:style>
  <w:style w:type="character" w:customStyle="1" w:styleId="mop">
    <w:name w:val="mop"/>
    <w:basedOn w:val="a0"/>
  </w:style>
  <w:style w:type="character" w:customStyle="1" w:styleId="10">
    <w:name w:val="Заголовок 1 Знак"/>
    <w:basedOn w:val="a0"/>
    <w:link w:val="1"/>
    <w:uiPriority w:val="9"/>
    <w:rPr>
      <w:rFonts w:eastAsia="Times New Roman"/>
      <w:b/>
      <w:bCs/>
      <w:i/>
      <w:iCs/>
      <w:sz w:val="24"/>
      <w:szCs w:val="24"/>
      <w:lang w:val="kk-KZ" w:eastAsia="en-US"/>
    </w:rPr>
  </w:style>
  <w:style w:type="character" w:customStyle="1" w:styleId="30">
    <w:name w:val="Заголовок 3 Знак"/>
    <w:basedOn w:val="a0"/>
    <w:link w:val="3"/>
    <w:uiPriority w:val="9"/>
    <w:semiHidden/>
    <w:rPr>
      <w:rFonts w:asciiTheme="minorHAnsi" w:eastAsiaTheme="minorHAnsi" w:hAnsiTheme="minorHAnsi" w:cstheme="minorBidi"/>
      <w:b/>
      <w:bCs/>
      <w:sz w:val="32"/>
      <w:szCs w:val="32"/>
      <w:lang w:val="ru-RU" w:eastAsia="en-US"/>
    </w:rPr>
  </w:style>
  <w:style w:type="character" w:customStyle="1" w:styleId="UnresolvedMention">
    <w:name w:val="Unresolved Mention"/>
    <w:basedOn w:val="a0"/>
    <w:uiPriority w:val="99"/>
    <w:semiHidden/>
    <w:unhideWhenUsed/>
    <w:rsid w:val="003A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oks.yandex.kz/books/sVhIgdxx" TargetMode="External"/><Relationship Id="rId13" Type="http://schemas.openxmlformats.org/officeDocument/2006/relationships/hyperlink" Target="https://www.mohrsiebeck.com/en/article/basedow-juergen-the-law-of-open-societies-private-ordering-and-public-regulation-in-the-conflict-of-laws-leiden-2015-101628003372517x149120635520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i.pageplace.de/preview/DT0400.9780190496739_A30388616/preview-9780190496739_A303886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990000409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winfochina.com/index.aspx" TargetMode="External"/><Relationship Id="rId4" Type="http://schemas.openxmlformats.org/officeDocument/2006/relationships/settings" Target="settings.xml"/><Relationship Id="rId9" Type="http://schemas.openxmlformats.org/officeDocument/2006/relationships/hyperlink" Target="https://&#1087;&#1088;&#1072;&#1074;&#1086;.&#1080;&#1085;&#1092;&#1086;&#1088;&#1084;2000.&#1088;&#1092;/ino/ino.htm" TargetMode="External"/><Relationship Id="rId14" Type="http://schemas.openxmlformats.org/officeDocument/2006/relationships/hyperlink" Target="https://conflictoflaws.net/2019/out-now-von-bar-mankowski-internationales-privatrecht-2nd-edition-2019/?print=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E39DDAEE-CE46-44A2-B88A-AB0593E6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Gulzhanat</dc:creator>
  <cp:lastModifiedBy>Admin</cp:lastModifiedBy>
  <cp:revision>8</cp:revision>
  <dcterms:created xsi:type="dcterms:W3CDTF">2026-04-17T06:26:00Z</dcterms:created>
  <dcterms:modified xsi:type="dcterms:W3CDTF">2026-04-20T08:55:00Z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eyJoZGlkIjoiMjVjNDhjMjAzNjc1Zjc4MzAyOWExYmFjNzhmMjU3ZjEiLCJ1c2VySWQiOiI0MDQ4ODg2NjgifQ==</vt:lpwstr>
  </property>
  <property fmtid="{D5CDD505-2E9C-101B-9397-08002B2CF9AE}" pid="3" name="KSOProductBuildVer">
    <vt:lpwstr>2052-12.1.0.22215</vt:lpwstr>
  </property>
  <property fmtid="{D5CDD505-2E9C-101B-9397-08002B2CF9AE}" pid="4" name="ICV">
    <vt:lpwstr>1E2B2AFF937B48C0A1A988504144B8F2_13</vt:lpwstr>
  </property>
</Properties>
</file>