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8B2" w:rsidRPr="000268B2" w:rsidRDefault="000268B2" w:rsidP="000268B2">
      <w:pPr>
        <w:spacing w:after="0" w:line="240" w:lineRule="auto"/>
        <w:jc w:val="center"/>
        <w:rPr>
          <w:rFonts w:ascii="Times New Roman" w:eastAsia="Times New Roman Italics" w:hAnsi="Times New Roman" w:cs="Times New Roman"/>
          <w:b/>
          <w:iCs/>
          <w:color w:val="000000"/>
          <w:sz w:val="24"/>
          <w:szCs w:val="24"/>
          <w:lang w:val="en-US"/>
        </w:rPr>
      </w:pPr>
      <w:proofErr w:type="spellStart"/>
      <w:r w:rsidRPr="000268B2">
        <w:rPr>
          <w:rFonts w:ascii="Times New Roman" w:eastAsia="Times New Roman Italics" w:hAnsi="Times New Roman" w:cs="Times New Roman"/>
          <w:b/>
          <w:iCs/>
          <w:color w:val="000000"/>
          <w:sz w:val="24"/>
          <w:szCs w:val="24"/>
          <w:lang w:val="en-US"/>
        </w:rPr>
        <w:t>Kiyasova</w:t>
      </w:r>
      <w:proofErr w:type="spellEnd"/>
      <w:r w:rsidRPr="000268B2">
        <w:rPr>
          <w:rFonts w:ascii="Times New Roman" w:eastAsia="Times New Roman Italics" w:hAnsi="Times New Roman" w:cs="Times New Roman"/>
          <w:b/>
          <w:iCs/>
          <w:color w:val="000000"/>
          <w:sz w:val="24"/>
          <w:szCs w:val="24"/>
          <w:lang w:val="en-US"/>
        </w:rPr>
        <w:t xml:space="preserve"> K.K.</w:t>
      </w:r>
    </w:p>
    <w:p w:rsidR="000268B2" w:rsidRPr="000268B2" w:rsidRDefault="000268B2" w:rsidP="000268B2">
      <w:pPr>
        <w:spacing w:after="0" w:line="240" w:lineRule="auto"/>
        <w:jc w:val="center"/>
        <w:rPr>
          <w:rFonts w:ascii="Times New Roman" w:hAnsi="Times New Roman" w:cs="Times New Roman"/>
          <w:sz w:val="24"/>
          <w:szCs w:val="24"/>
          <w:lang w:val="en-US"/>
        </w:rPr>
      </w:pPr>
      <w:r w:rsidRPr="000268B2">
        <w:rPr>
          <w:rFonts w:ascii="Times New Roman" w:eastAsia="Times New Roman Italics" w:hAnsi="Times New Roman" w:cs="Times New Roman"/>
          <w:i/>
          <w:iCs/>
          <w:color w:val="000000"/>
          <w:sz w:val="24"/>
          <w:szCs w:val="24"/>
          <w:lang w:val="en-US"/>
        </w:rPr>
        <w:t>Candidate of Pedagogical Sciences, Acting Associate Professor of the Department of Translation Studies and Foreign Languages</w:t>
      </w:r>
      <w:r>
        <w:rPr>
          <w:rFonts w:ascii="Times New Roman" w:eastAsia="Times New Roman Italics" w:hAnsi="Times New Roman" w:cs="Times New Roman"/>
          <w:i/>
          <w:iCs/>
          <w:color w:val="000000"/>
          <w:sz w:val="24"/>
          <w:szCs w:val="24"/>
          <w:lang w:val="kk-KZ"/>
        </w:rPr>
        <w:t xml:space="preserve"> </w:t>
      </w:r>
      <w:r w:rsidRPr="000268B2">
        <w:rPr>
          <w:rFonts w:ascii="Times New Roman" w:eastAsia="Times New Roman Italics" w:hAnsi="Times New Roman" w:cs="Times New Roman"/>
          <w:i/>
          <w:iCs/>
          <w:color w:val="000000"/>
          <w:sz w:val="24"/>
          <w:szCs w:val="24"/>
          <w:lang w:val="en-US"/>
        </w:rPr>
        <w:t xml:space="preserve">South Kazakhstan Pedagogical University named after O. </w:t>
      </w:r>
      <w:proofErr w:type="spellStart"/>
      <w:r w:rsidRPr="000268B2">
        <w:rPr>
          <w:rFonts w:ascii="Times New Roman" w:eastAsia="Times New Roman Italics" w:hAnsi="Times New Roman" w:cs="Times New Roman"/>
          <w:i/>
          <w:iCs/>
          <w:color w:val="000000"/>
          <w:sz w:val="24"/>
          <w:szCs w:val="24"/>
          <w:lang w:val="en-US"/>
        </w:rPr>
        <w:t>Zhanibekov</w:t>
      </w:r>
      <w:proofErr w:type="spellEnd"/>
      <w:r w:rsidRPr="000268B2">
        <w:rPr>
          <w:rFonts w:ascii="Times New Roman" w:eastAsia="Times New Roman Italics" w:hAnsi="Times New Roman" w:cs="Times New Roman"/>
          <w:i/>
          <w:iCs/>
          <w:color w:val="000000"/>
          <w:sz w:val="24"/>
          <w:szCs w:val="24"/>
          <w:lang w:val="en-US"/>
        </w:rPr>
        <w:t xml:space="preserve">, </w:t>
      </w:r>
      <w:proofErr w:type="spellStart"/>
      <w:r w:rsidRPr="000268B2">
        <w:rPr>
          <w:rFonts w:ascii="Times New Roman" w:eastAsia="Times New Roman Italics" w:hAnsi="Times New Roman" w:cs="Times New Roman"/>
          <w:i/>
          <w:iCs/>
          <w:color w:val="000000"/>
          <w:sz w:val="24"/>
          <w:szCs w:val="24"/>
          <w:lang w:val="en-US"/>
        </w:rPr>
        <w:t>Shymkent</w:t>
      </w:r>
      <w:proofErr w:type="spellEnd"/>
      <w:r w:rsidRPr="000268B2">
        <w:rPr>
          <w:rFonts w:ascii="Times New Roman" w:eastAsia="Times New Roman Italics" w:hAnsi="Times New Roman" w:cs="Times New Roman"/>
          <w:i/>
          <w:iCs/>
          <w:color w:val="000000"/>
          <w:sz w:val="24"/>
          <w:szCs w:val="24"/>
          <w:lang w:val="en-US"/>
        </w:rPr>
        <w:t xml:space="preserve">, Kazakhstan. </w:t>
      </w:r>
      <w:hyperlink r:id="rId4" w:history="1">
        <w:r w:rsidRPr="000268B2">
          <w:rPr>
            <w:rStyle w:val="a3"/>
            <w:rFonts w:ascii="Times New Roman" w:eastAsia="Times New Roman Italics" w:hAnsi="Times New Roman" w:cs="Times New Roman"/>
            <w:i/>
            <w:iCs/>
            <w:sz w:val="24"/>
            <w:szCs w:val="24"/>
            <w:u w:color="1A62FF"/>
            <w:lang w:val="en-US"/>
          </w:rPr>
          <w:t>kkk29052024@mail.ru</w:t>
        </w:r>
      </w:hyperlink>
    </w:p>
    <w:p w:rsidR="00FC77C4" w:rsidRPr="000268B2" w:rsidRDefault="00A126F6" w:rsidP="000268B2">
      <w:pPr>
        <w:spacing w:after="0" w:line="240" w:lineRule="auto"/>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 </w:t>
      </w:r>
    </w:p>
    <w:p w:rsidR="00FC77C4" w:rsidRDefault="00A126F6" w:rsidP="000268B2">
      <w:pPr>
        <w:spacing w:after="0" w:line="240" w:lineRule="auto"/>
        <w:jc w:val="center"/>
        <w:rPr>
          <w:rFonts w:ascii="Times New Roman" w:eastAsia="Times New Roman Bold" w:hAnsi="Times New Roman" w:cs="Times New Roman"/>
          <w:b/>
          <w:bCs/>
          <w:color w:val="000000"/>
          <w:sz w:val="24"/>
          <w:szCs w:val="24"/>
          <w:lang w:val="en-US"/>
        </w:rPr>
      </w:pPr>
      <w:r w:rsidRPr="000268B2">
        <w:rPr>
          <w:rFonts w:ascii="Times New Roman" w:eastAsia="Times New Roman Bold" w:hAnsi="Times New Roman" w:cs="Times New Roman"/>
          <w:b/>
          <w:bCs/>
          <w:color w:val="000000"/>
          <w:sz w:val="24"/>
          <w:szCs w:val="24"/>
          <w:lang w:val="en-US"/>
        </w:rPr>
        <w:t>D</w:t>
      </w:r>
      <w:r w:rsidR="000268B2" w:rsidRPr="000268B2">
        <w:rPr>
          <w:rFonts w:ascii="Times New Roman" w:eastAsia="Times New Roman Bold" w:hAnsi="Times New Roman" w:cs="Times New Roman"/>
          <w:b/>
          <w:bCs/>
          <w:color w:val="000000"/>
          <w:sz w:val="24"/>
          <w:szCs w:val="24"/>
          <w:lang w:val="en-US"/>
        </w:rPr>
        <w:t>igital integration in English teaching and evaluation: challenges and perspectives</w:t>
      </w:r>
    </w:p>
    <w:p w:rsidR="000268B2" w:rsidRDefault="000268B2" w:rsidP="000268B2">
      <w:pPr>
        <w:spacing w:after="0" w:line="240" w:lineRule="auto"/>
        <w:jc w:val="center"/>
        <w:rPr>
          <w:rFonts w:ascii="Times New Roman" w:eastAsia="Times New Roman Bold" w:hAnsi="Times New Roman" w:cs="Times New Roman"/>
          <w:b/>
          <w:bCs/>
          <w:color w:val="000000"/>
          <w:sz w:val="24"/>
          <w:szCs w:val="24"/>
          <w:lang w:val="kk-KZ"/>
        </w:rPr>
      </w:pPr>
      <w:r>
        <w:rPr>
          <w:rFonts w:ascii="Times New Roman" w:eastAsia="Times New Roman Bold" w:hAnsi="Times New Roman" w:cs="Times New Roman"/>
          <w:b/>
          <w:bCs/>
          <w:color w:val="000000"/>
          <w:sz w:val="24"/>
          <w:szCs w:val="24"/>
          <w:lang w:val="kk-KZ"/>
        </w:rPr>
        <w:t>*</w:t>
      </w:r>
    </w:p>
    <w:p w:rsidR="000268B2" w:rsidRPr="000268B2" w:rsidRDefault="000268B2" w:rsidP="000268B2">
      <w:pPr>
        <w:spacing w:after="0" w:line="240" w:lineRule="auto"/>
        <w:jc w:val="center"/>
        <w:rPr>
          <w:rFonts w:ascii="Times New Roman" w:eastAsia="Times New Roman Bold" w:hAnsi="Times New Roman" w:cs="Times New Roman"/>
          <w:b/>
          <w:bCs/>
          <w:color w:val="000000"/>
          <w:sz w:val="24"/>
          <w:szCs w:val="24"/>
          <w:lang w:val="kk-KZ"/>
        </w:rPr>
      </w:pPr>
      <w:r w:rsidRPr="000268B2">
        <w:rPr>
          <w:rFonts w:ascii="Times New Roman" w:eastAsia="Times New Roman Bold" w:hAnsi="Times New Roman" w:cs="Times New Roman"/>
          <w:b/>
          <w:bCs/>
          <w:color w:val="000000"/>
          <w:sz w:val="24"/>
          <w:szCs w:val="24"/>
          <w:lang w:val="kk-KZ"/>
        </w:rPr>
        <w:t>Цифровая интеграция в преподавании и оценке английского языка: проблемы и перспективы</w:t>
      </w:r>
    </w:p>
    <w:p w:rsidR="00A126F6" w:rsidRPr="000268B2" w:rsidRDefault="00A126F6" w:rsidP="000268B2">
      <w:pPr>
        <w:spacing w:after="0" w:line="240" w:lineRule="auto"/>
        <w:ind w:firstLine="426"/>
        <w:jc w:val="both"/>
        <w:rPr>
          <w:rFonts w:ascii="Times New Roman" w:hAnsi="Times New Roman" w:cs="Times New Roman"/>
          <w:sz w:val="24"/>
          <w:szCs w:val="24"/>
        </w:rPr>
      </w:pPr>
    </w:p>
    <w:p w:rsidR="00FC77C4" w:rsidRPr="000268B2" w:rsidRDefault="00A126F6" w:rsidP="000268B2">
      <w:pPr>
        <w:spacing w:after="0" w:line="240" w:lineRule="auto"/>
        <w:ind w:firstLine="426"/>
        <w:jc w:val="both"/>
        <w:rPr>
          <w:rFonts w:ascii="Times New Roman" w:hAnsi="Times New Roman" w:cs="Times New Roman"/>
          <w:sz w:val="24"/>
          <w:szCs w:val="24"/>
        </w:rPr>
      </w:pPr>
      <w:r w:rsidRPr="000268B2">
        <w:rPr>
          <w:rFonts w:ascii="Times New Roman" w:eastAsia="Times New Roman Bold" w:hAnsi="Times New Roman" w:cs="Times New Roman"/>
          <w:b/>
          <w:bCs/>
          <w:color w:val="1B1C1D"/>
          <w:sz w:val="24"/>
          <w:szCs w:val="24"/>
        </w:rPr>
        <w:t>Аннотация</w:t>
      </w:r>
      <w:r w:rsidRPr="000268B2">
        <w:rPr>
          <w:rFonts w:ascii="Times New Roman" w:eastAsia="Times New Roman" w:hAnsi="Times New Roman" w:cs="Times New Roman"/>
          <w:color w:val="1B1C1D"/>
          <w:sz w:val="24"/>
          <w:szCs w:val="24"/>
        </w:rPr>
        <w:t xml:space="preserve"> </w:t>
      </w:r>
    </w:p>
    <w:p w:rsidR="00FC77C4" w:rsidRPr="000268B2" w:rsidRDefault="00A126F6" w:rsidP="000268B2">
      <w:pPr>
        <w:spacing w:after="0" w:line="240" w:lineRule="auto"/>
        <w:ind w:firstLine="426"/>
        <w:jc w:val="both"/>
        <w:rPr>
          <w:rFonts w:ascii="Times New Roman" w:hAnsi="Times New Roman" w:cs="Times New Roman"/>
          <w:i/>
          <w:sz w:val="24"/>
          <w:szCs w:val="24"/>
        </w:rPr>
      </w:pPr>
      <w:r w:rsidRPr="000268B2">
        <w:rPr>
          <w:rFonts w:ascii="Times New Roman" w:eastAsia="Times New Roman" w:hAnsi="Times New Roman" w:cs="Times New Roman"/>
          <w:i/>
          <w:color w:val="1B1C1D"/>
          <w:sz w:val="24"/>
          <w:szCs w:val="24"/>
        </w:rPr>
        <w:t xml:space="preserve">В данной статье исследуется меняющийся ландшафт современной лингводидактики в условиях цифровой трансформации. Исследование сосредоточено на вопросах интеграции инновационных педагогических инструментов в учебный процесс с целью повышения вовлеченности учащихся и уточнения точности оценки языковых навыков. Анализируя синергию между цифровыми платформами и традиционными методами, работа демонстрирует способы сокращения дистанции между теоретическими знаниями и практическим владением языком. Результаты исследования свидетельствуют о том, что технологически опосредованная среда не только стимулирует мотивацию обучающихся, но и предоставляет педагогам более точные метрики для оценки уровня владения языком. </w:t>
      </w:r>
    </w:p>
    <w:p w:rsidR="00FC77C4" w:rsidRPr="000268B2" w:rsidRDefault="00A126F6" w:rsidP="000268B2">
      <w:pPr>
        <w:spacing w:after="0" w:line="240" w:lineRule="auto"/>
        <w:ind w:firstLine="426"/>
        <w:jc w:val="both"/>
        <w:rPr>
          <w:rFonts w:ascii="Times New Roman" w:hAnsi="Times New Roman" w:cs="Times New Roman"/>
          <w:i/>
          <w:sz w:val="24"/>
          <w:szCs w:val="24"/>
        </w:rPr>
      </w:pPr>
      <w:r w:rsidRPr="000268B2">
        <w:rPr>
          <w:rFonts w:ascii="Times New Roman" w:eastAsia="Times New Roman Bold" w:hAnsi="Times New Roman" w:cs="Times New Roman"/>
          <w:b/>
          <w:bCs/>
          <w:color w:val="1B1C1D"/>
          <w:sz w:val="24"/>
          <w:szCs w:val="24"/>
        </w:rPr>
        <w:t>Ключевые слова:</w:t>
      </w:r>
      <w:r w:rsidRPr="000268B2">
        <w:rPr>
          <w:rFonts w:ascii="Times New Roman" w:eastAsia="Times New Roman" w:hAnsi="Times New Roman" w:cs="Times New Roman"/>
          <w:color w:val="1B1C1D"/>
          <w:sz w:val="24"/>
          <w:szCs w:val="24"/>
        </w:rPr>
        <w:t xml:space="preserve"> </w:t>
      </w:r>
      <w:r w:rsidRPr="000268B2">
        <w:rPr>
          <w:rFonts w:ascii="Times New Roman" w:eastAsia="Times New Roman" w:hAnsi="Times New Roman" w:cs="Times New Roman"/>
          <w:i/>
          <w:color w:val="1B1C1D"/>
          <w:sz w:val="24"/>
          <w:szCs w:val="24"/>
        </w:rPr>
        <w:t xml:space="preserve">цифровое образование, преподавание английского языка (ELT), инновационная методология, вовлеченность учащихся, лингводидактика, оценка языковых навыков. </w:t>
      </w:r>
    </w:p>
    <w:p w:rsidR="00FC77C4" w:rsidRPr="000268B2" w:rsidRDefault="00FC77C4" w:rsidP="000268B2">
      <w:pPr>
        <w:spacing w:after="0" w:line="240" w:lineRule="auto"/>
        <w:ind w:firstLine="426"/>
        <w:jc w:val="both"/>
        <w:rPr>
          <w:rFonts w:ascii="Times New Roman" w:hAnsi="Times New Roman" w:cs="Times New Roman"/>
          <w:sz w:val="24"/>
          <w:szCs w:val="24"/>
        </w:rPr>
      </w:pP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Open Sans Bold" w:hAnsi="Times New Roman" w:cs="Times New Roman"/>
          <w:b/>
          <w:bCs/>
          <w:color w:val="000000"/>
          <w:sz w:val="24"/>
          <w:szCs w:val="24"/>
          <w:lang w:val="en-US"/>
        </w:rPr>
        <w:t xml:space="preserve">Introduction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We are currently witnessing a significant paradigm shift in how foreign languages </w:t>
      </w:r>
      <w:proofErr w:type="gramStart"/>
      <w:r w:rsidRPr="000268B2">
        <w:rPr>
          <w:rFonts w:ascii="Times New Roman" w:eastAsia="Arimo" w:hAnsi="Times New Roman" w:cs="Times New Roman"/>
          <w:color w:val="000000"/>
          <w:sz w:val="24"/>
          <w:szCs w:val="24"/>
          <w:lang w:val="en-US"/>
        </w:rPr>
        <w:t>are taught</w:t>
      </w:r>
      <w:proofErr w:type="gramEnd"/>
      <w:r w:rsidRPr="000268B2">
        <w:rPr>
          <w:rFonts w:ascii="Times New Roman" w:eastAsia="Arimo" w:hAnsi="Times New Roman" w:cs="Times New Roman"/>
          <w:color w:val="000000"/>
          <w:sz w:val="24"/>
          <w:szCs w:val="24"/>
          <w:lang w:val="en-US"/>
        </w:rPr>
        <w:t xml:space="preserve">. As discussed during the International Scientific and Practical Conference on "Innovations in Language Teaching, Learning and Assessment," the old "teacher-centered" models are no longer sufficient in a world driven by technology. For today’s educators, the </w:t>
      </w:r>
      <w:proofErr w:type="gramStart"/>
      <w:r w:rsidRPr="000268B2">
        <w:rPr>
          <w:rFonts w:ascii="Times New Roman" w:eastAsia="Arimo" w:hAnsi="Times New Roman" w:cs="Times New Roman"/>
          <w:color w:val="000000"/>
          <w:sz w:val="24"/>
          <w:szCs w:val="24"/>
          <w:lang w:val="en-US"/>
        </w:rPr>
        <w:t>real challenge</w:t>
      </w:r>
      <w:proofErr w:type="gramEnd"/>
      <w:r w:rsidRPr="000268B2">
        <w:rPr>
          <w:rFonts w:ascii="Times New Roman" w:eastAsia="Arimo" w:hAnsi="Times New Roman" w:cs="Times New Roman"/>
          <w:color w:val="000000"/>
          <w:sz w:val="24"/>
          <w:szCs w:val="24"/>
          <w:lang w:val="en-US"/>
        </w:rPr>
        <w:t xml:space="preserve"> is not just delivering grammar or vocabulary but creating a dynamic, interactive space where students feel connected to the language through digital mediation.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The goal of this study is to examine the practical benefits of weaving digital tools into the English curriculum. By leveraging these technologies, academic institutions can foster better collaboration and significantly improve the overall quality of instruction.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 </w:t>
      </w:r>
      <w:r w:rsidRPr="000268B2">
        <w:rPr>
          <w:rFonts w:ascii="Times New Roman" w:eastAsia="Open Sans Bold" w:hAnsi="Times New Roman" w:cs="Times New Roman"/>
          <w:b/>
          <w:bCs/>
          <w:color w:val="000000"/>
          <w:sz w:val="24"/>
          <w:szCs w:val="24"/>
          <w:lang w:val="en-US"/>
        </w:rPr>
        <w:t xml:space="preserve">Literature Review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The theoretical framework of this research is deeply rooted in the findings of both Kazakhstani and international scholars. For instance, Academician S.S. </w:t>
      </w:r>
      <w:proofErr w:type="spellStart"/>
      <w:r w:rsidRPr="000268B2">
        <w:rPr>
          <w:rFonts w:ascii="Times New Roman" w:eastAsia="Arimo" w:hAnsi="Times New Roman" w:cs="Times New Roman"/>
          <w:color w:val="000000"/>
          <w:sz w:val="24"/>
          <w:szCs w:val="24"/>
          <w:lang w:val="en-US"/>
        </w:rPr>
        <w:t>Kunanbayeva</w:t>
      </w:r>
      <w:proofErr w:type="spellEnd"/>
      <w:r w:rsidRPr="000268B2">
        <w:rPr>
          <w:rFonts w:ascii="Times New Roman" w:eastAsia="Arimo" w:hAnsi="Times New Roman" w:cs="Times New Roman"/>
          <w:color w:val="000000"/>
          <w:sz w:val="24"/>
          <w:szCs w:val="24"/>
          <w:lang w:val="en-US"/>
        </w:rPr>
        <w:t xml:space="preserve"> has long advocated for a cognitive-</w:t>
      </w:r>
      <w:proofErr w:type="spellStart"/>
      <w:r w:rsidRPr="000268B2">
        <w:rPr>
          <w:rFonts w:ascii="Times New Roman" w:eastAsia="Arimo" w:hAnsi="Times New Roman" w:cs="Times New Roman"/>
          <w:color w:val="000000"/>
          <w:sz w:val="24"/>
          <w:szCs w:val="24"/>
          <w:lang w:val="en-US"/>
        </w:rPr>
        <w:t>linguo</w:t>
      </w:r>
      <w:proofErr w:type="spellEnd"/>
      <w:r w:rsidRPr="000268B2">
        <w:rPr>
          <w:rFonts w:ascii="Times New Roman" w:eastAsia="Arimo" w:hAnsi="Times New Roman" w:cs="Times New Roman"/>
          <w:color w:val="000000"/>
          <w:sz w:val="24"/>
          <w:szCs w:val="24"/>
          <w:lang w:val="en-US"/>
        </w:rPr>
        <w:t xml:space="preserve">-cultural approach, which today finds its strongest support in digital resources. Similarly, G.J. </w:t>
      </w:r>
      <w:proofErr w:type="spellStart"/>
      <w:r w:rsidRPr="000268B2">
        <w:rPr>
          <w:rFonts w:ascii="Times New Roman" w:eastAsia="Arimo" w:hAnsi="Times New Roman" w:cs="Times New Roman"/>
          <w:color w:val="000000"/>
          <w:sz w:val="24"/>
          <w:szCs w:val="24"/>
          <w:lang w:val="en-US"/>
        </w:rPr>
        <w:t>Zhetibayeva</w:t>
      </w:r>
      <w:proofErr w:type="spellEnd"/>
      <w:r w:rsidRPr="000268B2">
        <w:rPr>
          <w:rFonts w:ascii="Times New Roman" w:eastAsia="Arimo" w:hAnsi="Times New Roman" w:cs="Times New Roman"/>
          <w:color w:val="000000"/>
          <w:sz w:val="24"/>
          <w:szCs w:val="24"/>
          <w:lang w:val="en-US"/>
        </w:rPr>
        <w:t xml:space="preserve"> emphasizes that developing communicative competence in the 21st century is nearly impossible without the aid of innovative technologies. These local perspectives align perfectly with global trends, suggesting that a hybrid educational model is perhaps the most effective way to meet the needs of modern learners.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 </w:t>
      </w:r>
      <w:r w:rsidRPr="000268B2">
        <w:rPr>
          <w:rFonts w:ascii="Times New Roman" w:eastAsia="Open Sans Bold" w:hAnsi="Times New Roman" w:cs="Times New Roman"/>
          <w:b/>
          <w:bCs/>
          <w:color w:val="000000"/>
          <w:sz w:val="24"/>
          <w:szCs w:val="24"/>
          <w:lang w:val="en-US"/>
        </w:rPr>
        <w:t xml:space="preserve">Innovative Pedagogical Approaches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In practice, moving toward a "student-centered" digital environment involves several key tools: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Gamification: Platforms such as </w:t>
      </w:r>
      <w:proofErr w:type="spellStart"/>
      <w:r w:rsidRPr="000268B2">
        <w:rPr>
          <w:rFonts w:ascii="Times New Roman" w:eastAsia="Arimo" w:hAnsi="Times New Roman" w:cs="Times New Roman"/>
          <w:color w:val="000000"/>
          <w:sz w:val="24"/>
          <w:szCs w:val="24"/>
          <w:lang w:val="en-US"/>
        </w:rPr>
        <w:t>Quizizz</w:t>
      </w:r>
      <w:proofErr w:type="spellEnd"/>
      <w:r w:rsidRPr="000268B2">
        <w:rPr>
          <w:rFonts w:ascii="Times New Roman" w:eastAsia="Arimo" w:hAnsi="Times New Roman" w:cs="Times New Roman"/>
          <w:color w:val="000000"/>
          <w:sz w:val="24"/>
          <w:szCs w:val="24"/>
          <w:lang w:val="en-US"/>
        </w:rPr>
        <w:t xml:space="preserve">, </w:t>
      </w:r>
      <w:proofErr w:type="spellStart"/>
      <w:r w:rsidRPr="000268B2">
        <w:rPr>
          <w:rFonts w:ascii="Times New Roman" w:eastAsia="Arimo" w:hAnsi="Times New Roman" w:cs="Times New Roman"/>
          <w:color w:val="000000"/>
          <w:sz w:val="24"/>
          <w:szCs w:val="24"/>
          <w:lang w:val="en-US"/>
        </w:rPr>
        <w:t>Kahoot</w:t>
      </w:r>
      <w:proofErr w:type="spellEnd"/>
      <w:r w:rsidRPr="000268B2">
        <w:rPr>
          <w:rFonts w:ascii="Times New Roman" w:eastAsia="Arimo" w:hAnsi="Times New Roman" w:cs="Times New Roman"/>
          <w:color w:val="000000"/>
          <w:sz w:val="24"/>
          <w:szCs w:val="24"/>
          <w:lang w:val="en-US"/>
        </w:rPr>
        <w:t xml:space="preserve">, and </w:t>
      </w:r>
      <w:proofErr w:type="spellStart"/>
      <w:r w:rsidRPr="000268B2">
        <w:rPr>
          <w:rFonts w:ascii="Times New Roman" w:eastAsia="Arimo" w:hAnsi="Times New Roman" w:cs="Times New Roman"/>
          <w:color w:val="000000"/>
          <w:sz w:val="24"/>
          <w:szCs w:val="24"/>
          <w:lang w:val="en-US"/>
        </w:rPr>
        <w:t>Wordwall</w:t>
      </w:r>
      <w:proofErr w:type="spellEnd"/>
      <w:r w:rsidRPr="000268B2">
        <w:rPr>
          <w:rFonts w:ascii="Times New Roman" w:eastAsia="Arimo" w:hAnsi="Times New Roman" w:cs="Times New Roman"/>
          <w:color w:val="000000"/>
          <w:sz w:val="24"/>
          <w:szCs w:val="24"/>
          <w:lang w:val="en-US"/>
        </w:rPr>
        <w:t xml:space="preserve"> turn repetitive grammar drills into competitive, engaging activities. This approach directly tackles the issue of student motivation.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Learning Management Systems (LMS): Tools like Moodle or Google Classroom provide a structured way to track progress and organize materials, making the learning process more transparent.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lastRenderedPageBreak/>
        <w:t xml:space="preserve">Artificial Intelligence (AI):  AI-powered tools offer personalized, instant feedback. This allows students to practice their speaking and writing skills in a low-pressure environment before they ever face a formal exam.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Open Sans" w:hAnsi="Times New Roman" w:cs="Times New Roman"/>
          <w:color w:val="000000"/>
          <w:sz w:val="24"/>
          <w:szCs w:val="24"/>
          <w:lang w:val="en-US"/>
        </w:rPr>
        <w:t xml:space="preserve">Methodology and Results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To test these ideas, a four-week practical study </w:t>
      </w:r>
      <w:proofErr w:type="gramStart"/>
      <w:r w:rsidRPr="000268B2">
        <w:rPr>
          <w:rFonts w:ascii="Times New Roman" w:eastAsia="Arimo" w:hAnsi="Times New Roman" w:cs="Times New Roman"/>
          <w:color w:val="000000"/>
          <w:sz w:val="24"/>
          <w:szCs w:val="24"/>
          <w:lang w:val="en-US"/>
        </w:rPr>
        <w:t>was conducted</w:t>
      </w:r>
      <w:proofErr w:type="gramEnd"/>
      <w:r w:rsidRPr="000268B2">
        <w:rPr>
          <w:rFonts w:ascii="Times New Roman" w:eastAsia="Arimo" w:hAnsi="Times New Roman" w:cs="Times New Roman"/>
          <w:color w:val="000000"/>
          <w:sz w:val="24"/>
          <w:szCs w:val="24"/>
          <w:lang w:val="en-US"/>
        </w:rPr>
        <w:t xml:space="preserve"> with second-year students. We used a mixed-methods approach, combining data from digital platforms with qualitative feedback from student surveys. During this period, traditional paper-based tests </w:t>
      </w:r>
      <w:proofErr w:type="gramStart"/>
      <w:r w:rsidRPr="000268B2">
        <w:rPr>
          <w:rFonts w:ascii="Times New Roman" w:eastAsia="Arimo" w:hAnsi="Times New Roman" w:cs="Times New Roman"/>
          <w:color w:val="000000"/>
          <w:sz w:val="24"/>
          <w:szCs w:val="24"/>
          <w:lang w:val="en-US"/>
        </w:rPr>
        <w:t>were replaced</w:t>
      </w:r>
      <w:proofErr w:type="gramEnd"/>
      <w:r w:rsidRPr="000268B2">
        <w:rPr>
          <w:rFonts w:ascii="Times New Roman" w:eastAsia="Arimo" w:hAnsi="Times New Roman" w:cs="Times New Roman"/>
          <w:color w:val="000000"/>
          <w:sz w:val="24"/>
          <w:szCs w:val="24"/>
          <w:lang w:val="en-US"/>
        </w:rPr>
        <w:t xml:space="preserve"> by interactive evaluations via </w:t>
      </w:r>
      <w:proofErr w:type="spellStart"/>
      <w:r w:rsidRPr="000268B2">
        <w:rPr>
          <w:rFonts w:ascii="Times New Roman" w:eastAsia="Arimo" w:hAnsi="Times New Roman" w:cs="Times New Roman"/>
          <w:color w:val="000000"/>
          <w:sz w:val="24"/>
          <w:szCs w:val="24"/>
          <w:lang w:val="en-US"/>
        </w:rPr>
        <w:t>Quizizz</w:t>
      </w:r>
      <w:proofErr w:type="spellEnd"/>
      <w:r w:rsidRPr="000268B2">
        <w:rPr>
          <w:rFonts w:ascii="Times New Roman" w:eastAsia="Arimo" w:hAnsi="Times New Roman" w:cs="Times New Roman"/>
          <w:color w:val="000000"/>
          <w:sz w:val="24"/>
          <w:szCs w:val="24"/>
          <w:lang w:val="en-US"/>
        </w:rPr>
        <w:t xml:space="preserve"> and collaborative tasks in Google Classroom.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The results were quite revealing: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Engagement: 88% of students reported a much higher interest in lessons. They specifically mentioned that receiving immediate feedback helped reduce "test anxiety."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Performance: We saw a 15% increase in average scores compared to previous paper-based assessments, suggesting that interactivity aids information retention.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Teacher Efficiency: Automation of grading reduced the administrative workload for instructors by about 30%, allowing them to focus more on individual student support.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Open Sans" w:hAnsi="Times New Roman" w:cs="Times New Roman"/>
          <w:color w:val="000000"/>
          <w:sz w:val="24"/>
          <w:szCs w:val="24"/>
          <w:lang w:val="en-US"/>
        </w:rPr>
        <w:t xml:space="preserve">Modern Developments in Assessment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Traditional testing often fails to capture the multi-dimensional nature of language. Digital tools offer a way out of this by providing: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Instant Feedback: Students learn from their mistakes immediately.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Data-Driven Insights: Teachers can identify common struggles across an entire group and adjust their lessons accordingly.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Formative Assessment: Rather than relying on one high-stakes final exam, teachers can monitor progress continuously.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Open Sans Bold" w:hAnsi="Times New Roman" w:cs="Times New Roman"/>
          <w:b/>
          <w:bCs/>
          <w:color w:val="000000"/>
          <w:sz w:val="24"/>
          <w:szCs w:val="24"/>
          <w:lang w:val="en-US"/>
        </w:rPr>
        <w:t xml:space="preserve"> Conclusion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Integrating digital tools into English teaching is a complex but ultimately rewarding journey. It requires educators to be both linguistically proficient and digitally literate. The future of </w:t>
      </w:r>
      <w:proofErr w:type="spellStart"/>
      <w:r w:rsidRPr="000268B2">
        <w:rPr>
          <w:rFonts w:ascii="Times New Roman" w:eastAsia="Arimo" w:hAnsi="Times New Roman" w:cs="Times New Roman"/>
          <w:color w:val="000000"/>
          <w:sz w:val="24"/>
          <w:szCs w:val="24"/>
          <w:lang w:val="en-US"/>
        </w:rPr>
        <w:t>linguodidactics</w:t>
      </w:r>
      <w:proofErr w:type="spellEnd"/>
      <w:r w:rsidRPr="000268B2">
        <w:rPr>
          <w:rFonts w:ascii="Times New Roman" w:eastAsia="Arimo" w:hAnsi="Times New Roman" w:cs="Times New Roman"/>
          <w:color w:val="000000"/>
          <w:sz w:val="24"/>
          <w:szCs w:val="24"/>
          <w:lang w:val="en-US"/>
        </w:rPr>
        <w:t xml:space="preserve"> does not lie in replacing teachers with technology, but in the seamless blend of human expertise and digital innovation. This is the only way to ensure that language learning remains effective and relevant in the modern age. </w:t>
      </w: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 </w:t>
      </w:r>
    </w:p>
    <w:p w:rsidR="00FC77C4" w:rsidRDefault="00A126F6" w:rsidP="000268B2">
      <w:pPr>
        <w:spacing w:after="0" w:line="240" w:lineRule="auto"/>
        <w:jc w:val="center"/>
        <w:rPr>
          <w:rFonts w:ascii="Times New Roman" w:eastAsia="Open Sans Bold" w:hAnsi="Times New Roman" w:cs="Times New Roman"/>
          <w:b/>
          <w:bCs/>
          <w:color w:val="000000"/>
          <w:sz w:val="24"/>
          <w:szCs w:val="24"/>
          <w:lang w:val="en-US"/>
        </w:rPr>
      </w:pPr>
      <w:r w:rsidRPr="000268B2">
        <w:rPr>
          <w:rFonts w:ascii="Times New Roman" w:eastAsia="Open Sans Bold" w:hAnsi="Times New Roman" w:cs="Times New Roman"/>
          <w:b/>
          <w:bCs/>
          <w:color w:val="000000"/>
          <w:sz w:val="24"/>
          <w:szCs w:val="24"/>
          <w:lang w:val="en-US"/>
        </w:rPr>
        <w:t>References</w:t>
      </w:r>
    </w:p>
    <w:p w:rsidR="000268B2" w:rsidRPr="000268B2" w:rsidRDefault="000268B2" w:rsidP="000268B2">
      <w:pPr>
        <w:spacing w:after="0" w:line="240" w:lineRule="auto"/>
        <w:jc w:val="center"/>
        <w:rPr>
          <w:rFonts w:ascii="Times New Roman" w:hAnsi="Times New Roman" w:cs="Times New Roman"/>
          <w:sz w:val="24"/>
          <w:szCs w:val="24"/>
          <w:lang w:val="en-US"/>
        </w:rPr>
      </w:pPr>
    </w:p>
    <w:p w:rsidR="00FC77C4" w:rsidRPr="000268B2" w:rsidRDefault="00A126F6" w:rsidP="000268B2">
      <w:pPr>
        <w:spacing w:after="0" w:line="240" w:lineRule="auto"/>
        <w:ind w:firstLine="426"/>
        <w:jc w:val="both"/>
        <w:rPr>
          <w:rFonts w:ascii="Times New Roman" w:hAnsi="Times New Roman" w:cs="Times New Roman"/>
          <w:sz w:val="24"/>
          <w:szCs w:val="24"/>
          <w:lang w:val="en-US"/>
        </w:rPr>
      </w:pPr>
      <w:r w:rsidRPr="000268B2">
        <w:rPr>
          <w:rFonts w:ascii="Times New Roman" w:eastAsia="Arimo" w:hAnsi="Times New Roman" w:cs="Times New Roman"/>
          <w:color w:val="000000"/>
          <w:sz w:val="24"/>
          <w:szCs w:val="24"/>
          <w:lang w:val="en-US"/>
        </w:rPr>
        <w:t xml:space="preserve">1. </w:t>
      </w:r>
      <w:proofErr w:type="spellStart"/>
      <w:r w:rsidRPr="000268B2">
        <w:rPr>
          <w:rFonts w:ascii="Times New Roman" w:eastAsia="Arimo" w:hAnsi="Times New Roman" w:cs="Times New Roman"/>
          <w:color w:val="000000"/>
          <w:sz w:val="24"/>
          <w:szCs w:val="24"/>
          <w:lang w:val="en-US"/>
        </w:rPr>
        <w:t>Kunanbayeva</w:t>
      </w:r>
      <w:proofErr w:type="spellEnd"/>
      <w:r w:rsidRPr="000268B2">
        <w:rPr>
          <w:rFonts w:ascii="Times New Roman" w:eastAsia="Arimo" w:hAnsi="Times New Roman" w:cs="Times New Roman"/>
          <w:color w:val="000000"/>
          <w:sz w:val="24"/>
          <w:szCs w:val="24"/>
          <w:lang w:val="en-US"/>
        </w:rPr>
        <w:t>, S</w:t>
      </w:r>
      <w:r w:rsidR="000268B2">
        <w:rPr>
          <w:rFonts w:ascii="Times New Roman" w:eastAsia="Arimo" w:hAnsi="Times New Roman" w:cs="Times New Roman"/>
          <w:color w:val="000000"/>
          <w:sz w:val="24"/>
          <w:szCs w:val="24"/>
          <w:lang w:val="en-US"/>
        </w:rPr>
        <w:t>.</w:t>
      </w:r>
      <w:r w:rsidRPr="000268B2">
        <w:rPr>
          <w:rFonts w:ascii="Times New Roman" w:eastAsia="Arimo" w:hAnsi="Times New Roman" w:cs="Times New Roman"/>
          <w:color w:val="000000"/>
          <w:sz w:val="24"/>
          <w:szCs w:val="24"/>
          <w:lang w:val="en-US"/>
        </w:rPr>
        <w:t xml:space="preserve">S. (2010). The Theory and Practice of Modern Foreign Language Education. Almaty. </w:t>
      </w:r>
    </w:p>
    <w:p w:rsidR="00FC77C4" w:rsidRPr="000268B2" w:rsidRDefault="000268B2" w:rsidP="000268B2">
      <w:pPr>
        <w:spacing w:after="0" w:line="240" w:lineRule="auto"/>
        <w:ind w:firstLine="426"/>
        <w:jc w:val="both"/>
        <w:rPr>
          <w:rFonts w:ascii="Times New Roman" w:hAnsi="Times New Roman" w:cs="Times New Roman"/>
          <w:sz w:val="24"/>
          <w:szCs w:val="24"/>
        </w:rPr>
      </w:pPr>
      <w:r>
        <w:rPr>
          <w:rFonts w:ascii="Times New Roman" w:eastAsia="Arimo" w:hAnsi="Times New Roman" w:cs="Times New Roman"/>
          <w:color w:val="000000"/>
          <w:sz w:val="24"/>
          <w:szCs w:val="24"/>
          <w:lang w:val="en-US"/>
        </w:rPr>
        <w:t xml:space="preserve">2. </w:t>
      </w:r>
      <w:proofErr w:type="spellStart"/>
      <w:r>
        <w:rPr>
          <w:rFonts w:ascii="Times New Roman" w:eastAsia="Arimo" w:hAnsi="Times New Roman" w:cs="Times New Roman"/>
          <w:color w:val="000000"/>
          <w:sz w:val="24"/>
          <w:szCs w:val="24"/>
          <w:lang w:val="en-US"/>
        </w:rPr>
        <w:t>Zhetibayeva</w:t>
      </w:r>
      <w:proofErr w:type="spellEnd"/>
      <w:r>
        <w:rPr>
          <w:rFonts w:ascii="Times New Roman" w:eastAsia="Arimo" w:hAnsi="Times New Roman" w:cs="Times New Roman"/>
          <w:color w:val="000000"/>
          <w:sz w:val="24"/>
          <w:szCs w:val="24"/>
          <w:lang w:val="en-US"/>
        </w:rPr>
        <w:t>, G.</w:t>
      </w:r>
      <w:bookmarkStart w:id="0" w:name="_GoBack"/>
      <w:bookmarkEnd w:id="0"/>
      <w:r w:rsidR="00A126F6" w:rsidRPr="000268B2">
        <w:rPr>
          <w:rFonts w:ascii="Times New Roman" w:eastAsia="Arimo" w:hAnsi="Times New Roman" w:cs="Times New Roman"/>
          <w:color w:val="000000"/>
          <w:sz w:val="24"/>
          <w:szCs w:val="24"/>
          <w:lang w:val="en-US"/>
        </w:rPr>
        <w:t xml:space="preserve">J. (2018). Innovative Technologies in Foreign Language Teaching Methodology. </w:t>
      </w:r>
      <w:proofErr w:type="spellStart"/>
      <w:r w:rsidR="00A126F6" w:rsidRPr="000268B2">
        <w:rPr>
          <w:rFonts w:ascii="Times New Roman" w:eastAsia="Arimo" w:hAnsi="Times New Roman" w:cs="Times New Roman"/>
          <w:color w:val="000000"/>
          <w:sz w:val="24"/>
          <w:szCs w:val="24"/>
        </w:rPr>
        <w:t>Astana</w:t>
      </w:r>
      <w:proofErr w:type="spellEnd"/>
      <w:r w:rsidR="00A126F6" w:rsidRPr="000268B2">
        <w:rPr>
          <w:rFonts w:ascii="Times New Roman" w:eastAsia="Arimo" w:hAnsi="Times New Roman" w:cs="Times New Roman"/>
          <w:color w:val="000000"/>
          <w:sz w:val="24"/>
          <w:szCs w:val="24"/>
        </w:rPr>
        <w:t xml:space="preserve"> </w:t>
      </w:r>
    </w:p>
    <w:sectPr w:rsidR="00FC77C4" w:rsidRPr="000268B2">
      <w:pgSz w:w="11910" w:h="16845"/>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embedRegular r:id="rId1" w:fontKey="{14361748-DB8B-41E8-A9AD-BB023A3E88D4}"/>
  </w:font>
  <w:font w:name="Times New Roman">
    <w:panose1 w:val="02020603050405020304"/>
    <w:charset w:val="CC"/>
    <w:family w:val="roman"/>
    <w:pitch w:val="variable"/>
    <w:sig w:usb0="E0002AFF" w:usb1="C0007841" w:usb2="00000009" w:usb3="00000000" w:csb0="000001FF" w:csb1="00000000"/>
  </w:font>
  <w:font w:name="Times New Roman Italics">
    <w:altName w:val="MV Boli"/>
    <w:charset w:val="00"/>
    <w:family w:val="auto"/>
    <w:pitch w:val="default"/>
  </w:font>
  <w:font w:name="Arimo">
    <w:charset w:val="00"/>
    <w:family w:val="auto"/>
    <w:pitch w:val="default"/>
    <w:embedRegular r:id="rId2" w:fontKey="{A5202A9B-271E-4639-8508-7F6E8FAB6BA3}"/>
  </w:font>
  <w:font w:name="Times New Roman Bold">
    <w:altName w:val="Times New Roman"/>
    <w:charset w:val="00"/>
    <w:family w:val="auto"/>
    <w:pitch w:val="default"/>
  </w:font>
  <w:font w:name="Open Sans Bold">
    <w:charset w:val="00"/>
    <w:family w:val="auto"/>
    <w:pitch w:val="default"/>
    <w:embedBold r:id="rId3" w:fontKey="{840EAD76-7D9A-4B41-834D-F915947E3DB1}"/>
  </w:font>
  <w:font w:name="Open Sans">
    <w:charset w:val="00"/>
    <w:family w:val="auto"/>
    <w:pitch w:val="default"/>
    <w:embedRegular r:id="rId4" w:fontKey="{ED6A59AE-4418-4A1A-A03F-8B6D9B15DF8B}"/>
  </w:font>
  <w:font w:name="Cambria">
    <w:panose1 w:val="02040503050406030204"/>
    <w:charset w:val="CC"/>
    <w:family w:val="roman"/>
    <w:pitch w:val="variable"/>
    <w:sig w:usb0="E00002FF" w:usb1="400004FF" w:usb2="00000000" w:usb3="00000000" w:csb0="0000019F" w:csb1="00000000"/>
    <w:embedRegular r:id="rId5" w:fontKey="{A5FDFB3C-A667-45EB-9207-A0255BE405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doNotShadeFormData/>
  <w:characterSpacingControl w:val="doNotCompress"/>
  <w:compat>
    <w:useFELayout/>
    <w:compatSetting w:name="compatibilityMode" w:uri="http://schemas.microsoft.com/office/word" w:val="12"/>
  </w:compat>
  <w:rsids>
    <w:rsidRoot w:val="00FC77C4"/>
    <w:rsid w:val="000268B2"/>
    <w:rsid w:val="00A126F6"/>
    <w:rsid w:val="00FC7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327CC"/>
  <w15:docId w15:val="{C0DDA1A9-48F2-452E-9AC2-6353424DC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126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kkk29052024@mail.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837</Words>
  <Characters>4776</Characters>
  <Application>Microsoft Office Word</Application>
  <DocSecurity>0</DocSecurity>
  <Lines>39</Lines>
  <Paragraphs>11</Paragraphs>
  <ScaleCrop>false</ScaleCrop>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Абдиманап А. DIGITAL INTEGRATION IN ENGLISH TEACHING AND EVALUATION: CHALLENGES AND PERSPECTIVES</dc:title>
  <dc:creator>Apache POI</dc:creator>
  <cp:lastModifiedBy>Admin</cp:lastModifiedBy>
  <cp:revision>4</cp:revision>
  <dcterms:created xsi:type="dcterms:W3CDTF">2026-05-14T11:58:00Z</dcterms:created>
  <dcterms:modified xsi:type="dcterms:W3CDTF">2026-05-29T14:51:00Z</dcterms:modified>
</cp:coreProperties>
</file>