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B6BF7" w14:textId="77777777" w:rsidR="00C74D76" w:rsidRPr="00F833FD" w:rsidRDefault="00C74D76" w:rsidP="00F833FD">
      <w:pPr>
        <w:autoSpaceDE w:val="0"/>
        <w:autoSpaceDN w:val="0"/>
        <w:adjustRightInd w:val="0"/>
        <w:jc w:val="both"/>
        <w:rPr>
          <w:b/>
          <w:bCs/>
        </w:rPr>
      </w:pPr>
      <w:r w:rsidRPr="00F833FD">
        <w:rPr>
          <w:b/>
          <w:bCs/>
        </w:rPr>
        <w:t>334.012.23</w:t>
      </w:r>
    </w:p>
    <w:p w14:paraId="75C29607" w14:textId="407FF525" w:rsidR="00F833FD" w:rsidRPr="00F833FD" w:rsidRDefault="00F833FD" w:rsidP="00F833FD">
      <w:pPr>
        <w:autoSpaceDE w:val="0"/>
        <w:autoSpaceDN w:val="0"/>
        <w:adjustRightInd w:val="0"/>
        <w:jc w:val="center"/>
        <w:rPr>
          <w:b/>
          <w:bCs/>
          <w:i/>
          <w:iCs/>
          <w:lang w:val="kk-KZ"/>
        </w:rPr>
      </w:pPr>
      <w:proofErr w:type="spellStart"/>
      <w:r w:rsidRPr="00F833FD">
        <w:rPr>
          <w:b/>
          <w:bCs/>
          <w:i/>
          <w:iCs/>
        </w:rPr>
        <w:t>Гаухартас</w:t>
      </w:r>
      <w:proofErr w:type="spellEnd"/>
      <w:r w:rsidRPr="00F833FD">
        <w:rPr>
          <w:b/>
          <w:bCs/>
          <w:i/>
          <w:iCs/>
        </w:rPr>
        <w:t xml:space="preserve"> А</w:t>
      </w:r>
      <w:r w:rsidRPr="00F833FD">
        <w:rPr>
          <w:b/>
          <w:bCs/>
          <w:i/>
          <w:iCs/>
          <w:lang w:val="kk-KZ"/>
        </w:rPr>
        <w:t>.</w:t>
      </w:r>
      <w:r w:rsidRPr="00F833FD">
        <w:rPr>
          <w:b/>
          <w:bCs/>
          <w:i/>
          <w:iCs/>
        </w:rPr>
        <w:t>Б</w:t>
      </w:r>
      <w:r w:rsidRPr="00F833FD">
        <w:rPr>
          <w:b/>
          <w:bCs/>
          <w:i/>
          <w:iCs/>
          <w:lang w:val="kk-KZ"/>
        </w:rPr>
        <w:t>.</w:t>
      </w:r>
    </w:p>
    <w:p w14:paraId="0EAE2669" w14:textId="1217159A" w:rsidR="00F833FD" w:rsidRPr="00F833FD" w:rsidRDefault="00F833FD" w:rsidP="00F833FD">
      <w:pPr>
        <w:autoSpaceDE w:val="0"/>
        <w:autoSpaceDN w:val="0"/>
        <w:adjustRightInd w:val="0"/>
        <w:jc w:val="center"/>
        <w:rPr>
          <w:i/>
          <w:iCs/>
        </w:rPr>
      </w:pPr>
      <w:r w:rsidRPr="00F833FD">
        <w:rPr>
          <w:i/>
          <w:iCs/>
        </w:rPr>
        <w:t>магистрант,</w:t>
      </w:r>
      <w:r w:rsidRPr="00F833FD">
        <w:rPr>
          <w:i/>
          <w:iCs/>
          <w:lang w:val="kk-KZ"/>
        </w:rPr>
        <w:t xml:space="preserve"> </w:t>
      </w:r>
      <w:r w:rsidRPr="00F833FD">
        <w:rPr>
          <w:i/>
          <w:iCs/>
        </w:rPr>
        <w:t>Университет международного бизнеса,</w:t>
      </w:r>
    </w:p>
    <w:p w14:paraId="4A0432C1" w14:textId="77777777" w:rsidR="00F833FD" w:rsidRPr="00F833FD" w:rsidRDefault="00F833FD" w:rsidP="00F833FD">
      <w:pPr>
        <w:autoSpaceDE w:val="0"/>
        <w:autoSpaceDN w:val="0"/>
        <w:adjustRightInd w:val="0"/>
        <w:jc w:val="center"/>
        <w:rPr>
          <w:i/>
          <w:iCs/>
        </w:rPr>
      </w:pPr>
      <w:r w:rsidRPr="00F833FD">
        <w:rPr>
          <w:i/>
          <w:iCs/>
        </w:rPr>
        <w:t>Республика Казахстан, г. Алматы</w:t>
      </w:r>
    </w:p>
    <w:p w14:paraId="33665792" w14:textId="5EE9BD2C" w:rsidR="00F833FD" w:rsidRPr="00F833FD" w:rsidRDefault="00F833FD" w:rsidP="00F833FD">
      <w:pPr>
        <w:autoSpaceDE w:val="0"/>
        <w:autoSpaceDN w:val="0"/>
        <w:adjustRightInd w:val="0"/>
        <w:jc w:val="center"/>
        <w:rPr>
          <w:color w:val="4B5563"/>
          <w:shd w:val="clear" w:color="auto" w:fill="FFFFFF"/>
          <w:lang w:val="kk-KZ"/>
        </w:rPr>
      </w:pPr>
      <w:proofErr w:type="spellStart"/>
      <w:r w:rsidRPr="00F833FD">
        <w:rPr>
          <w:b/>
          <w:bCs/>
          <w:i/>
          <w:iCs/>
        </w:rPr>
        <w:t>Баишева</w:t>
      </w:r>
      <w:proofErr w:type="spellEnd"/>
      <w:r w:rsidRPr="00F833FD">
        <w:rPr>
          <w:b/>
          <w:bCs/>
          <w:i/>
          <w:iCs/>
        </w:rPr>
        <w:t xml:space="preserve"> Е</w:t>
      </w:r>
      <w:r w:rsidRPr="00F833FD">
        <w:rPr>
          <w:b/>
          <w:bCs/>
          <w:i/>
          <w:iCs/>
          <w:lang w:val="kk-KZ"/>
        </w:rPr>
        <w:t>.</w:t>
      </w:r>
      <w:r w:rsidRPr="00F833FD">
        <w:rPr>
          <w:b/>
          <w:bCs/>
          <w:i/>
          <w:iCs/>
        </w:rPr>
        <w:t>Д</w:t>
      </w:r>
      <w:r w:rsidRPr="00F833FD">
        <w:rPr>
          <w:b/>
          <w:bCs/>
          <w:i/>
          <w:iCs/>
          <w:lang w:val="kk-KZ"/>
        </w:rPr>
        <w:t>.</w:t>
      </w:r>
    </w:p>
    <w:p w14:paraId="6CDB9A00" w14:textId="7152514F" w:rsidR="00F833FD" w:rsidRPr="00F833FD" w:rsidRDefault="00F833FD" w:rsidP="00F833FD">
      <w:pPr>
        <w:autoSpaceDE w:val="0"/>
        <w:autoSpaceDN w:val="0"/>
        <w:adjustRightInd w:val="0"/>
        <w:jc w:val="center"/>
        <w:rPr>
          <w:i/>
          <w:iCs/>
        </w:rPr>
      </w:pPr>
      <w:r w:rsidRPr="00F833FD">
        <w:rPr>
          <w:i/>
          <w:iCs/>
        </w:rPr>
        <w:t>научный руководитель, к.э.н.,</w:t>
      </w:r>
      <w:r w:rsidRPr="00F833FD">
        <w:rPr>
          <w:i/>
          <w:iCs/>
          <w:lang w:val="kk-KZ"/>
        </w:rPr>
        <w:t xml:space="preserve"> </w:t>
      </w:r>
      <w:r w:rsidRPr="00F833FD">
        <w:rPr>
          <w:i/>
          <w:iCs/>
        </w:rPr>
        <w:t>доцент</w:t>
      </w:r>
      <w:r w:rsidRPr="00F833FD">
        <w:t xml:space="preserve"> </w:t>
      </w:r>
      <w:r w:rsidRPr="00F833FD">
        <w:rPr>
          <w:i/>
          <w:iCs/>
        </w:rPr>
        <w:t>кафедры «Финансы и Учет»</w:t>
      </w:r>
    </w:p>
    <w:p w14:paraId="592E2631" w14:textId="4D3D5692" w:rsidR="00F833FD" w:rsidRPr="00F833FD" w:rsidRDefault="00F833FD" w:rsidP="00F833FD">
      <w:pPr>
        <w:autoSpaceDE w:val="0"/>
        <w:autoSpaceDN w:val="0"/>
        <w:adjustRightInd w:val="0"/>
        <w:jc w:val="center"/>
        <w:rPr>
          <w:i/>
          <w:iCs/>
        </w:rPr>
      </w:pPr>
      <w:r w:rsidRPr="00F833FD">
        <w:rPr>
          <w:i/>
          <w:iCs/>
        </w:rPr>
        <w:t>Университет международного бизнеса,</w:t>
      </w:r>
      <w:r w:rsidRPr="00F833FD">
        <w:rPr>
          <w:i/>
          <w:iCs/>
          <w:lang w:val="kk-KZ"/>
        </w:rPr>
        <w:t xml:space="preserve"> </w:t>
      </w:r>
      <w:r w:rsidRPr="00F833FD">
        <w:rPr>
          <w:i/>
          <w:iCs/>
        </w:rPr>
        <w:t>Республика Казахстан, г. Алматы</w:t>
      </w:r>
    </w:p>
    <w:p w14:paraId="3528ABC2" w14:textId="77777777" w:rsidR="00F833FD" w:rsidRPr="00F833FD" w:rsidRDefault="00F833FD" w:rsidP="00F833FD">
      <w:pPr>
        <w:ind w:firstLine="426"/>
        <w:jc w:val="both"/>
        <w:rPr>
          <w:b/>
          <w:bCs/>
        </w:rPr>
      </w:pPr>
    </w:p>
    <w:p w14:paraId="451F06A8" w14:textId="1461AFAD" w:rsidR="004C7B99" w:rsidRDefault="00F032F4" w:rsidP="00F833FD">
      <w:pPr>
        <w:jc w:val="center"/>
        <w:rPr>
          <w:b/>
          <w:bCs/>
        </w:rPr>
      </w:pPr>
      <w:r w:rsidRPr="00F833FD">
        <w:rPr>
          <w:b/>
          <w:bCs/>
        </w:rPr>
        <w:t>Интерпретация финансовой отчетности в эпоху ESG-трансформации: методологические аспекты и отраслевые вызовы</w:t>
      </w:r>
    </w:p>
    <w:p w14:paraId="029D2ED5" w14:textId="53F1989E" w:rsidR="00FD24F8" w:rsidRDefault="00FD24F8" w:rsidP="00F833FD">
      <w:pPr>
        <w:jc w:val="center"/>
        <w:rPr>
          <w:b/>
          <w:bCs/>
          <w:lang w:val="kk-KZ"/>
        </w:rPr>
      </w:pPr>
      <w:r>
        <w:rPr>
          <w:b/>
          <w:bCs/>
          <w:lang w:val="kk-KZ"/>
        </w:rPr>
        <w:t>*</w:t>
      </w:r>
    </w:p>
    <w:p w14:paraId="10A6A056" w14:textId="77777777" w:rsidR="00FD24F8" w:rsidRPr="00FD24F8" w:rsidRDefault="00FD24F8" w:rsidP="00FD24F8">
      <w:pPr>
        <w:jc w:val="center"/>
        <w:rPr>
          <w:b/>
          <w:lang w:val="en-US"/>
        </w:rPr>
      </w:pPr>
      <w:r w:rsidRPr="00FD24F8">
        <w:rPr>
          <w:b/>
          <w:lang w:val="en-US"/>
        </w:rPr>
        <w:t>Interpretation of financial statements in the era of ESG transformation: methodological aspects and industry challenges</w:t>
      </w:r>
    </w:p>
    <w:p w14:paraId="524F3984" w14:textId="77777777" w:rsidR="00F4329F" w:rsidRPr="00FD24F8" w:rsidRDefault="00F4329F" w:rsidP="00F833FD">
      <w:pPr>
        <w:ind w:firstLine="426"/>
        <w:jc w:val="both"/>
        <w:rPr>
          <w:b/>
          <w:bCs/>
          <w:lang w:val="en-US"/>
        </w:rPr>
      </w:pPr>
    </w:p>
    <w:p w14:paraId="3FD581B7" w14:textId="21312E74" w:rsidR="003F3E88" w:rsidRPr="00F833FD" w:rsidRDefault="00F833FD" w:rsidP="00F833FD">
      <w:pPr>
        <w:autoSpaceDE w:val="0"/>
        <w:autoSpaceDN w:val="0"/>
        <w:adjustRightInd w:val="0"/>
        <w:ind w:firstLine="426"/>
        <w:jc w:val="both"/>
        <w:rPr>
          <w:rStyle w:val="MdStrong"/>
        </w:rPr>
      </w:pPr>
      <w:r w:rsidRPr="00F833FD">
        <w:rPr>
          <w:rStyle w:val="MdStrong"/>
        </w:rPr>
        <w:t>Аннотация</w:t>
      </w:r>
    </w:p>
    <w:p w14:paraId="7CDE2D82" w14:textId="77777777" w:rsidR="003F3E88" w:rsidRPr="00F833FD" w:rsidRDefault="003F3E88" w:rsidP="00F833FD">
      <w:pPr>
        <w:ind w:firstLine="426"/>
        <w:jc w:val="both"/>
        <w:rPr>
          <w:i/>
        </w:rPr>
      </w:pPr>
      <w:r w:rsidRPr="00F833FD">
        <w:rPr>
          <w:i/>
        </w:rPr>
        <w:t>Настоящая статья посвящена исследованию трансформации подходов к интерпретации финансовой отчетности в условиях усиления роли факторов устойчивого развития (ESG). Рассматривается эволюция финансового анализа от традиционной модели, ориентированной на максимизацию акционерной стоимости, к концепции устойчивого создания стоимости с учетом интересов широкого круга стейкхолдеров.</w:t>
      </w:r>
    </w:p>
    <w:p w14:paraId="7284C0DF" w14:textId="77777777" w:rsidR="003F3E88" w:rsidRPr="00F833FD" w:rsidRDefault="003F3E88" w:rsidP="00F833FD">
      <w:pPr>
        <w:ind w:firstLine="426"/>
        <w:jc w:val="both"/>
        <w:rPr>
          <w:i/>
        </w:rPr>
      </w:pPr>
      <w:r w:rsidRPr="00F833FD">
        <w:rPr>
          <w:i/>
        </w:rPr>
        <w:t>В работе предложены методологические подходы к интеграции ESG-факторов в ключевые финансовые показатели, включая средневзвешенную стоимость капитала (WACC), свободный денежный поток (FCF) и экономическую добавленную стоимость (EVA). Особое внимание уделено авиационной отрасли как одному из наиболее чувствительных секторов к экологическим и социальным рискам. Проведен сравнительный анализ ESG-стратегий ведущих международных авиакомпаний.</w:t>
      </w:r>
    </w:p>
    <w:p w14:paraId="69E81389" w14:textId="77777777" w:rsidR="003F3E88" w:rsidRPr="00F833FD" w:rsidRDefault="003F3E88" w:rsidP="00F833FD">
      <w:pPr>
        <w:ind w:firstLine="426"/>
        <w:jc w:val="both"/>
        <w:rPr>
          <w:i/>
        </w:rPr>
      </w:pPr>
      <w:r w:rsidRPr="00F833FD">
        <w:rPr>
          <w:i/>
        </w:rPr>
        <w:t xml:space="preserve">Выявлены основные проблемы интерпретации ESG-данных, включая отсутствие унифицированных стандартов отчетности и риски </w:t>
      </w:r>
      <w:proofErr w:type="spellStart"/>
      <w:r w:rsidRPr="00F833FD">
        <w:rPr>
          <w:i/>
        </w:rPr>
        <w:t>гринвошинга</w:t>
      </w:r>
      <w:proofErr w:type="spellEnd"/>
      <w:r w:rsidRPr="00F833FD">
        <w:rPr>
          <w:i/>
        </w:rPr>
        <w:t xml:space="preserve">. Сделан вывод о том, что ESG-факторы становятся ключевыми детерминантами стоимости бизнеса и требуют интеграции в систему финансового анализа. Определены перспективы развития аналитического инструментария до 2030 года, включая использование искусственного интеллекта и технологий </w:t>
      </w:r>
      <w:proofErr w:type="spellStart"/>
      <w:r w:rsidRPr="00F833FD">
        <w:rPr>
          <w:i/>
        </w:rPr>
        <w:t>блокчейн</w:t>
      </w:r>
      <w:proofErr w:type="spellEnd"/>
      <w:r w:rsidRPr="00F833FD">
        <w:rPr>
          <w:i/>
        </w:rPr>
        <w:t>.</w:t>
      </w:r>
    </w:p>
    <w:p w14:paraId="07425799" w14:textId="77777777" w:rsidR="004C7B99" w:rsidRPr="00F833FD" w:rsidRDefault="00F032F4" w:rsidP="00F833FD">
      <w:pPr>
        <w:ind w:firstLine="426"/>
        <w:jc w:val="both"/>
        <w:rPr>
          <w:i/>
        </w:rPr>
      </w:pPr>
      <w:r w:rsidRPr="00F833FD">
        <w:rPr>
          <w:rStyle w:val="MdStrong"/>
        </w:rPr>
        <w:t>Ключевые слова:</w:t>
      </w:r>
      <w:r w:rsidRPr="00F833FD">
        <w:t xml:space="preserve"> </w:t>
      </w:r>
      <w:r w:rsidRPr="00F833FD">
        <w:rPr>
          <w:i/>
        </w:rPr>
        <w:t xml:space="preserve">ESG-показатели, финансовая отчетность, устойчивое развитие, авиакомпании, </w:t>
      </w:r>
      <w:proofErr w:type="spellStart"/>
      <w:r w:rsidRPr="00F833FD">
        <w:rPr>
          <w:i/>
        </w:rPr>
        <w:t>Air</w:t>
      </w:r>
      <w:proofErr w:type="spellEnd"/>
      <w:r w:rsidRPr="00F833FD">
        <w:rPr>
          <w:i/>
        </w:rPr>
        <w:t xml:space="preserve"> </w:t>
      </w:r>
      <w:proofErr w:type="spellStart"/>
      <w:r w:rsidRPr="00F833FD">
        <w:rPr>
          <w:i/>
        </w:rPr>
        <w:t>Astana</w:t>
      </w:r>
      <w:proofErr w:type="spellEnd"/>
      <w:r w:rsidRPr="00F833FD">
        <w:rPr>
          <w:i/>
        </w:rPr>
        <w:t xml:space="preserve">, </w:t>
      </w:r>
      <w:proofErr w:type="spellStart"/>
      <w:r w:rsidRPr="00F833FD">
        <w:rPr>
          <w:i/>
        </w:rPr>
        <w:t>Qatar</w:t>
      </w:r>
      <w:proofErr w:type="spellEnd"/>
      <w:r w:rsidRPr="00F833FD">
        <w:rPr>
          <w:i/>
        </w:rPr>
        <w:t xml:space="preserve"> </w:t>
      </w:r>
      <w:proofErr w:type="spellStart"/>
      <w:r w:rsidRPr="00F833FD">
        <w:rPr>
          <w:i/>
        </w:rPr>
        <w:t>Airways</w:t>
      </w:r>
      <w:proofErr w:type="spellEnd"/>
      <w:r w:rsidRPr="00F833FD">
        <w:rPr>
          <w:i/>
        </w:rPr>
        <w:t xml:space="preserve">, финансовый анализ, инвестиционная привлекательность, интегрированная отчетность, WACC, CORSIA, МСФО S1/S2, </w:t>
      </w:r>
      <w:proofErr w:type="spellStart"/>
      <w:r w:rsidRPr="00F833FD">
        <w:rPr>
          <w:i/>
        </w:rPr>
        <w:t>гринвошинг</w:t>
      </w:r>
      <w:proofErr w:type="spellEnd"/>
      <w:r w:rsidRPr="00F833FD">
        <w:rPr>
          <w:i/>
        </w:rPr>
        <w:t xml:space="preserve">, </w:t>
      </w:r>
      <w:proofErr w:type="spellStart"/>
      <w:r w:rsidRPr="00F833FD">
        <w:rPr>
          <w:i/>
        </w:rPr>
        <w:t>стейкхолдерский</w:t>
      </w:r>
      <w:proofErr w:type="spellEnd"/>
      <w:r w:rsidRPr="00F833FD">
        <w:rPr>
          <w:i/>
        </w:rPr>
        <w:t xml:space="preserve"> капитализм.</w:t>
      </w:r>
    </w:p>
    <w:p w14:paraId="0F17F698" w14:textId="77777777" w:rsidR="00FD24F8" w:rsidRDefault="00FD24F8" w:rsidP="00FD24F8">
      <w:pPr>
        <w:ind w:firstLine="426"/>
        <w:jc w:val="both"/>
        <w:rPr>
          <w:lang w:val="en-US"/>
        </w:rPr>
      </w:pPr>
    </w:p>
    <w:p w14:paraId="0B633D96" w14:textId="77777777" w:rsidR="00FD24F8" w:rsidRPr="00FD24F8" w:rsidRDefault="00FD24F8" w:rsidP="00FD24F8">
      <w:pPr>
        <w:ind w:firstLine="426"/>
        <w:jc w:val="both"/>
        <w:rPr>
          <w:b/>
        </w:rPr>
      </w:pPr>
      <w:proofErr w:type="spellStart"/>
      <w:r w:rsidRPr="00FD24F8">
        <w:rPr>
          <w:b/>
        </w:rPr>
        <w:t>Annotation</w:t>
      </w:r>
      <w:proofErr w:type="spellEnd"/>
    </w:p>
    <w:p w14:paraId="793E5252" w14:textId="77777777" w:rsidR="00FD24F8" w:rsidRPr="00FD24F8" w:rsidRDefault="00FD24F8" w:rsidP="00FD24F8">
      <w:pPr>
        <w:ind w:firstLine="426"/>
        <w:jc w:val="both"/>
        <w:rPr>
          <w:i/>
          <w:lang w:val="en-US"/>
        </w:rPr>
      </w:pPr>
      <w:r w:rsidRPr="00FD24F8">
        <w:rPr>
          <w:i/>
          <w:lang w:val="en-US"/>
        </w:rPr>
        <w:t>This article is devoted to the study of the transformation of approaches to the interpretation of financial statements in the context of the increasing role of sustainable development factors (ESG). The evolution of financial analysis from the traditional model focused on maximizing shareholder value to the concept of sustainable value creation, taking into account the interests of a wide range of stakeholders, is considered.</w:t>
      </w:r>
    </w:p>
    <w:p w14:paraId="66E901C8" w14:textId="77777777" w:rsidR="00FD24F8" w:rsidRPr="00FD24F8" w:rsidRDefault="00FD24F8" w:rsidP="00FD24F8">
      <w:pPr>
        <w:ind w:firstLine="426"/>
        <w:jc w:val="both"/>
        <w:rPr>
          <w:i/>
          <w:lang w:val="en-US"/>
        </w:rPr>
      </w:pPr>
      <w:r w:rsidRPr="00FD24F8">
        <w:rPr>
          <w:i/>
          <w:lang w:val="en-US"/>
        </w:rPr>
        <w:t xml:space="preserve">The paper proposes methodological approaches to the integration of ESG factors into key financial indicators, including the weighted average cost of capital (WACC), free cash flow (FCF) and economic value added (EVA). Special attention </w:t>
      </w:r>
      <w:proofErr w:type="gramStart"/>
      <w:r w:rsidRPr="00FD24F8">
        <w:rPr>
          <w:i/>
          <w:lang w:val="en-US"/>
        </w:rPr>
        <w:t>is paid</w:t>
      </w:r>
      <w:proofErr w:type="gramEnd"/>
      <w:r w:rsidRPr="00FD24F8">
        <w:rPr>
          <w:i/>
          <w:lang w:val="en-US"/>
        </w:rPr>
        <w:t xml:space="preserve"> to the aviation industry as one of the most sensitive sectors to environmental and social risks. A comparative analysis of the ESG strategies of the leading international airlines </w:t>
      </w:r>
      <w:proofErr w:type="gramStart"/>
      <w:r w:rsidRPr="00FD24F8">
        <w:rPr>
          <w:i/>
          <w:lang w:val="en-US"/>
        </w:rPr>
        <w:t>is carried out</w:t>
      </w:r>
      <w:proofErr w:type="gramEnd"/>
      <w:r w:rsidRPr="00FD24F8">
        <w:rPr>
          <w:i/>
          <w:lang w:val="en-US"/>
        </w:rPr>
        <w:t>.</w:t>
      </w:r>
    </w:p>
    <w:p w14:paraId="13F64860" w14:textId="77777777" w:rsidR="00FD24F8" w:rsidRPr="00FD24F8" w:rsidRDefault="00FD24F8" w:rsidP="00FD24F8">
      <w:pPr>
        <w:ind w:firstLine="426"/>
        <w:jc w:val="both"/>
        <w:rPr>
          <w:i/>
          <w:lang w:val="en-US"/>
        </w:rPr>
      </w:pPr>
      <w:r w:rsidRPr="00FD24F8">
        <w:rPr>
          <w:i/>
          <w:lang w:val="en-US"/>
        </w:rPr>
        <w:t xml:space="preserve">The main problems of interpretation of ESG data </w:t>
      </w:r>
      <w:proofErr w:type="gramStart"/>
      <w:r w:rsidRPr="00FD24F8">
        <w:rPr>
          <w:i/>
          <w:lang w:val="en-US"/>
        </w:rPr>
        <w:t>have been identified</w:t>
      </w:r>
      <w:proofErr w:type="gramEnd"/>
      <w:r w:rsidRPr="00FD24F8">
        <w:rPr>
          <w:i/>
          <w:lang w:val="en-US"/>
        </w:rPr>
        <w:t xml:space="preserve">, including the lack of unified reporting standards and the risks of greenwashing. It </w:t>
      </w:r>
      <w:proofErr w:type="gramStart"/>
      <w:r w:rsidRPr="00FD24F8">
        <w:rPr>
          <w:i/>
          <w:lang w:val="en-US"/>
        </w:rPr>
        <w:t>is concluded</w:t>
      </w:r>
      <w:proofErr w:type="gramEnd"/>
      <w:r w:rsidRPr="00FD24F8">
        <w:rPr>
          <w:i/>
          <w:lang w:val="en-US"/>
        </w:rPr>
        <w:t xml:space="preserve"> that ESG factors are becoming key determinants of business value and require integration into the financial analysis </w:t>
      </w:r>
      <w:r w:rsidRPr="00FD24F8">
        <w:rPr>
          <w:i/>
          <w:lang w:val="en-US"/>
        </w:rPr>
        <w:lastRenderedPageBreak/>
        <w:t xml:space="preserve">system. The prospects for the development of analytical tools until 2030, including the use of artificial intelligence and </w:t>
      </w:r>
      <w:proofErr w:type="spellStart"/>
      <w:r w:rsidRPr="00FD24F8">
        <w:rPr>
          <w:i/>
          <w:lang w:val="en-US"/>
        </w:rPr>
        <w:t>blockchain</w:t>
      </w:r>
      <w:proofErr w:type="spellEnd"/>
      <w:r w:rsidRPr="00FD24F8">
        <w:rPr>
          <w:i/>
          <w:lang w:val="en-US"/>
        </w:rPr>
        <w:t xml:space="preserve"> technologies, </w:t>
      </w:r>
      <w:proofErr w:type="gramStart"/>
      <w:r w:rsidRPr="00FD24F8">
        <w:rPr>
          <w:i/>
          <w:lang w:val="en-US"/>
        </w:rPr>
        <w:t>have been identified</w:t>
      </w:r>
      <w:proofErr w:type="gramEnd"/>
      <w:r w:rsidRPr="00FD24F8">
        <w:rPr>
          <w:i/>
          <w:lang w:val="en-US"/>
        </w:rPr>
        <w:t>.</w:t>
      </w:r>
    </w:p>
    <w:p w14:paraId="1727407B" w14:textId="6361BF1C" w:rsidR="004C7B99" w:rsidRPr="00FB36CE" w:rsidRDefault="00FD24F8" w:rsidP="00FD24F8">
      <w:pPr>
        <w:ind w:firstLine="426"/>
        <w:jc w:val="both"/>
        <w:rPr>
          <w:i/>
          <w:lang w:val="en-US"/>
        </w:rPr>
      </w:pPr>
      <w:r w:rsidRPr="00FD24F8">
        <w:rPr>
          <w:b/>
          <w:lang w:val="en-US"/>
        </w:rPr>
        <w:t>Key</w:t>
      </w:r>
      <w:r>
        <w:rPr>
          <w:b/>
          <w:lang w:val="kk-KZ"/>
        </w:rPr>
        <w:t xml:space="preserve"> </w:t>
      </w:r>
      <w:r w:rsidRPr="00FD24F8">
        <w:rPr>
          <w:b/>
          <w:lang w:val="en-US"/>
        </w:rPr>
        <w:t>words:</w:t>
      </w:r>
      <w:r w:rsidRPr="00FD24F8">
        <w:rPr>
          <w:lang w:val="en-US"/>
        </w:rPr>
        <w:t xml:space="preserve"> </w:t>
      </w:r>
      <w:bookmarkStart w:id="0" w:name="_GoBack"/>
      <w:r w:rsidRPr="00FB36CE">
        <w:rPr>
          <w:i/>
          <w:lang w:val="en-US"/>
        </w:rPr>
        <w:t>ESG indicators, financial reporting, sustainable development, airlines, Air Astana, Qatar Airways, financial analysis, investment attractiveness, integrated reporting, WACC, CORSIA, IFRS S1/S2, greenwashing, stakeholder capitalism.</w:t>
      </w:r>
    </w:p>
    <w:bookmarkEnd w:id="0"/>
    <w:p w14:paraId="6FBC6465" w14:textId="77777777" w:rsidR="00FD24F8" w:rsidRPr="00FD24F8" w:rsidRDefault="00FD24F8" w:rsidP="00FD24F8">
      <w:pPr>
        <w:ind w:firstLine="426"/>
        <w:jc w:val="both"/>
        <w:rPr>
          <w:lang w:val="en-US"/>
        </w:rPr>
      </w:pPr>
    </w:p>
    <w:p w14:paraId="57E1757D" w14:textId="77777777" w:rsidR="004C7B99" w:rsidRPr="00F833FD" w:rsidRDefault="00F032F4" w:rsidP="00F833FD">
      <w:pPr>
        <w:ind w:firstLine="426"/>
        <w:jc w:val="both"/>
      </w:pPr>
      <w:r w:rsidRPr="00F833FD">
        <w:t>1. Эволюция парадигмы финансового анализа: от ретроспективного к устойчивому подходу</w:t>
      </w:r>
    </w:p>
    <w:p w14:paraId="67D09BDB" w14:textId="77777777" w:rsidR="004C7B99" w:rsidRPr="00F833FD" w:rsidRDefault="00F032F4" w:rsidP="00F833FD">
      <w:pPr>
        <w:ind w:firstLine="426"/>
        <w:jc w:val="both"/>
      </w:pPr>
      <w:r w:rsidRPr="00F833FD">
        <w:t>1.1. Исторический контекст и классические основы финансового анализа</w:t>
      </w:r>
    </w:p>
    <w:p w14:paraId="48F802CA" w14:textId="77777777" w:rsidR="004C7B99" w:rsidRPr="00F833FD" w:rsidRDefault="00F032F4" w:rsidP="00F833FD">
      <w:pPr>
        <w:ind w:firstLine="426"/>
        <w:jc w:val="both"/>
      </w:pPr>
      <w:r w:rsidRPr="00F833FD">
        <w:t xml:space="preserve">Традиционная школа финансового анализа, зародившаяся в начале XX века и достигшая своего расцвета в середине столетия благодаря трудам таких выдающихся экономистов, как Бенджамин </w:t>
      </w:r>
      <w:proofErr w:type="spellStart"/>
      <w:r w:rsidRPr="00F833FD">
        <w:t>Грэм</w:t>
      </w:r>
      <w:proofErr w:type="spellEnd"/>
      <w:r w:rsidRPr="00F833FD">
        <w:t xml:space="preserve"> и Дэвид </w:t>
      </w:r>
      <w:proofErr w:type="spellStart"/>
      <w:r w:rsidRPr="00F833FD">
        <w:t>Додд</w:t>
      </w:r>
      <w:proofErr w:type="spellEnd"/>
      <w:r w:rsidRPr="00F833FD">
        <w:t xml:space="preserve">, а позднее — </w:t>
      </w:r>
      <w:proofErr w:type="spellStart"/>
      <w:r w:rsidRPr="00F833FD">
        <w:t>Майрон</w:t>
      </w:r>
      <w:proofErr w:type="spellEnd"/>
      <w:r w:rsidRPr="00F833FD">
        <w:t xml:space="preserve"> Гордон и Джон </w:t>
      </w:r>
      <w:proofErr w:type="spellStart"/>
      <w:r w:rsidRPr="00F833FD">
        <w:t>Линтнер</w:t>
      </w:r>
      <w:proofErr w:type="spellEnd"/>
      <w:r w:rsidRPr="00F833FD">
        <w:t>, базировалась на фундаментальном постулате о максимизации акционерной стоимости (</w:t>
      </w:r>
      <w:proofErr w:type="spellStart"/>
      <w:r w:rsidRPr="00F833FD">
        <w:t>shareholder</w:t>
      </w:r>
      <w:proofErr w:type="spellEnd"/>
      <w:r w:rsidRPr="00F833FD">
        <w:t xml:space="preserve"> </w:t>
      </w:r>
      <w:proofErr w:type="spellStart"/>
      <w:r w:rsidRPr="00F833FD">
        <w:t>value</w:t>
      </w:r>
      <w:proofErr w:type="spellEnd"/>
      <w:r w:rsidRPr="00F833FD">
        <w:t xml:space="preserve"> </w:t>
      </w:r>
      <w:proofErr w:type="spellStart"/>
      <w:r w:rsidRPr="00F833FD">
        <w:t>maximization</w:t>
      </w:r>
      <w:proofErr w:type="spellEnd"/>
      <w:r w:rsidRPr="00F833FD">
        <w:t>) как единственной и главной цели коммерческой организации [1]. В рамках этой парадигмы финансовая отчетность, представленная балансом, отчетом о прибылях и убытках, а также отчетом о движении денежных средств, интерпретировалась как самодостаточная, закрытая система количественных данных. Основное внимание уделялось ретроспективному анализу, направленному на оценку прошлого финансового состояния и результатов деятельности компании. Ключевыми индикаторами эффективности выступали такие показатели, как чистая прибыль, рентабельность собственного капитала (ROE), рентабельность активов (ROA), а также различные коэффициенты ликвидности, финансовой устойчивости и деловой активности [2].</w:t>
      </w:r>
    </w:p>
    <w:p w14:paraId="434DC8B7" w14:textId="77777777" w:rsidR="004C7B99" w:rsidRPr="00F833FD" w:rsidRDefault="00F032F4" w:rsidP="00F833FD">
      <w:pPr>
        <w:ind w:firstLine="426"/>
        <w:jc w:val="both"/>
      </w:pPr>
      <w:r w:rsidRPr="00F833FD">
        <w:t>Интерпретация этих показателей позволяла инвесторам и кредиторам принимать решения о вложении капитала, оценивать кредитоспособность и прогнозировать будущие денежные потоки. Методики, подобные анализу Дюпона, позволяли декомпозировать ROE на составляющие, выявляя драйверы и слабые места в операционной, инвестиционной и финансовой деятельности компании. Однако этот подход, несмотря на свою аналитическую мощь, имел существенные ограничения. Он зачастую игнорировал внешние эффекты (</w:t>
      </w:r>
      <w:proofErr w:type="spellStart"/>
      <w:r w:rsidRPr="00F833FD">
        <w:t>экстерналии</w:t>
      </w:r>
      <w:proofErr w:type="spellEnd"/>
      <w:r w:rsidRPr="00F833FD">
        <w:t>) деятельности компаний, такие как загрязнение окружающей среды, социальная несправедливость или неэтичные практики управления, которые не находили прямого отражения в финансовых отчетах [3].</w:t>
      </w:r>
    </w:p>
    <w:p w14:paraId="6EA7DF2B" w14:textId="77777777" w:rsidR="004C7B99" w:rsidRPr="00F833FD" w:rsidRDefault="00F032F4" w:rsidP="00F833FD">
      <w:pPr>
        <w:ind w:firstLine="426"/>
        <w:jc w:val="both"/>
      </w:pPr>
      <w:r w:rsidRPr="00F833FD">
        <w:t xml:space="preserve">1.2. Сдвиг парадигмы: от акционерной стоимости к </w:t>
      </w:r>
      <w:proofErr w:type="spellStart"/>
      <w:r w:rsidRPr="00F833FD">
        <w:t>стейкхолдерскому</w:t>
      </w:r>
      <w:proofErr w:type="spellEnd"/>
      <w:r w:rsidRPr="00F833FD">
        <w:t xml:space="preserve"> капитализму</w:t>
      </w:r>
    </w:p>
    <w:p w14:paraId="39295CD9" w14:textId="77777777" w:rsidR="004C7B99" w:rsidRPr="00F833FD" w:rsidRDefault="00F032F4" w:rsidP="00F833FD">
      <w:pPr>
        <w:ind w:firstLine="426"/>
        <w:jc w:val="both"/>
      </w:pPr>
      <w:r w:rsidRPr="00F833FD">
        <w:t xml:space="preserve">На рубеже XX и XXI веков, а особенно интенсивно в период 2020–2025 гг., глобальная экономическая архитектура претерпела фундаментальный сдвиг. Рост осведомленности о климатических изменениях, социальных неравенствах и корпоративных скандалах привел к переосмыслению роли бизнеса в обществе. Концепция </w:t>
      </w:r>
      <w:proofErr w:type="spellStart"/>
      <w:r w:rsidRPr="00F833FD">
        <w:t>стейкхолдерского</w:t>
      </w:r>
      <w:proofErr w:type="spellEnd"/>
      <w:r w:rsidRPr="00F833FD">
        <w:t xml:space="preserve"> капитализма (</w:t>
      </w:r>
      <w:proofErr w:type="spellStart"/>
      <w:r w:rsidRPr="00F833FD">
        <w:t>Stakeholder</w:t>
      </w:r>
      <w:proofErr w:type="spellEnd"/>
      <w:r w:rsidRPr="00F833FD">
        <w:t xml:space="preserve"> </w:t>
      </w:r>
      <w:proofErr w:type="spellStart"/>
      <w:r w:rsidRPr="00F833FD">
        <w:t>Capitalism</w:t>
      </w:r>
      <w:proofErr w:type="spellEnd"/>
      <w:r w:rsidRPr="00F833FD">
        <w:t xml:space="preserve">), активно продвигаемая Всемирным экономическим форумом и ведущими инвестиционными фондами, такими как </w:t>
      </w:r>
      <w:proofErr w:type="spellStart"/>
      <w:r w:rsidRPr="00F833FD">
        <w:t>BlackRock</w:t>
      </w:r>
      <w:proofErr w:type="spellEnd"/>
      <w:r w:rsidRPr="00F833FD">
        <w:t>, утвердила идею о том, что успех компании в долгосрочной перспективе невозможен без учета интересов всех заинтересованных сторон: сотрудников, клиентов, поставщиков, местных сообществ и окружающей среды [4].</w:t>
      </w:r>
    </w:p>
    <w:p w14:paraId="430C9067" w14:textId="77777777" w:rsidR="004C7B99" w:rsidRPr="00F833FD" w:rsidRDefault="00F032F4" w:rsidP="00F833FD">
      <w:pPr>
        <w:ind w:firstLine="426"/>
        <w:jc w:val="both"/>
      </w:pPr>
      <w:r w:rsidRPr="00F833FD">
        <w:t>Этот сдвиг потребовал кардинальной трансформации в интерпретации финансовой отчетности. Теперь высокая текущая прибыль, полученная ценой экологической деградации, эксплуатации труда или неэтичного поведения, интерпретируется аналитиками не как признак силы, а как индикатор высокого риска. Такие риски могут проявляться в форме ужесточения регулирования, судебных исков, потери репутации, оттока талантливых сотрудников и, как следствие, «обесценения активов» (</w:t>
      </w:r>
      <w:proofErr w:type="spellStart"/>
      <w:r w:rsidRPr="00F833FD">
        <w:t>stranded</w:t>
      </w:r>
      <w:proofErr w:type="spellEnd"/>
      <w:r w:rsidRPr="00F833FD">
        <w:t xml:space="preserve"> </w:t>
      </w:r>
      <w:proofErr w:type="spellStart"/>
      <w:r w:rsidRPr="00F833FD">
        <w:t>assets</w:t>
      </w:r>
      <w:proofErr w:type="spellEnd"/>
      <w:r w:rsidRPr="00F833FD">
        <w:t>) или снижения будущих денежных потоков [5].</w:t>
      </w:r>
    </w:p>
    <w:p w14:paraId="7F4CC515" w14:textId="77777777" w:rsidR="004C7B99" w:rsidRPr="00F833FD" w:rsidRDefault="00F032F4" w:rsidP="00F833FD">
      <w:pPr>
        <w:ind w:firstLine="426"/>
        <w:jc w:val="both"/>
      </w:pPr>
      <w:r w:rsidRPr="00F833FD">
        <w:rPr>
          <w:rStyle w:val="MdStrong"/>
        </w:rPr>
        <w:t>Трансформация интерпретации</w:t>
      </w:r>
      <w:r w:rsidRPr="00F833FD">
        <w:t xml:space="preserve"> заключается в переходе от чисто «ретроспективного анализа состояния» (что произошло?) к «прогностическому анализу устойчивости» (как долго компания может сохранять конкурентоспособность и создавать стоимость в меняющемся мире?). Для компаний, особенно тех, которые недавно вышли на публичные рынки, как </w:t>
      </w:r>
      <w:proofErr w:type="spellStart"/>
      <w:r w:rsidRPr="00F833FD">
        <w:t>Air</w:t>
      </w:r>
      <w:proofErr w:type="spellEnd"/>
      <w:r w:rsidRPr="00F833FD">
        <w:t xml:space="preserve"> </w:t>
      </w:r>
      <w:proofErr w:type="spellStart"/>
      <w:r w:rsidRPr="00F833FD">
        <w:lastRenderedPageBreak/>
        <w:t>Astana</w:t>
      </w:r>
      <w:proofErr w:type="spellEnd"/>
      <w:r w:rsidRPr="00F833FD">
        <w:t xml:space="preserve"> после своего IPO в 2024 году, качество и полнота ESG-раскрытий напрямую влияют на мультипликаторы оценки и стоимость привлечения капитала, поскольку международные инвесторы все чаще используют ESG-критерии для скрининга и оценки активов [6].</w:t>
      </w:r>
    </w:p>
    <w:p w14:paraId="7250EEE9" w14:textId="77777777" w:rsidR="004C7B99" w:rsidRPr="00F833FD" w:rsidRDefault="00F032F4" w:rsidP="00F833FD">
      <w:pPr>
        <w:ind w:firstLine="426"/>
        <w:jc w:val="both"/>
      </w:pPr>
      <w:r w:rsidRPr="00F833FD">
        <w:t>2. Теоретический обзор: ESG-факторы как детерминанты финансовой устойчивости и стоимости</w:t>
      </w:r>
    </w:p>
    <w:p w14:paraId="25EA6678" w14:textId="77777777" w:rsidR="004C7B99" w:rsidRPr="00F833FD" w:rsidRDefault="00F032F4" w:rsidP="00F833FD">
      <w:pPr>
        <w:ind w:firstLine="426"/>
        <w:jc w:val="both"/>
      </w:pPr>
      <w:r w:rsidRPr="00F833FD">
        <w:t>Интеграция ESG-факторов в финансовый анализ требует не просто добавления новых показателей, но и глубокого пересмотра взаимосвязей между традиционными категориями бухгалтерского баланса, отчета о финансовых результатах и отчета о движении денежных средств. ESG-факторы перестают быть «нефинансовыми» в строгом смысле, трансформируясь в прямые или косвенные детерминанты финансовой устойчивости и стоимости компании.</w:t>
      </w:r>
    </w:p>
    <w:p w14:paraId="38FC6804" w14:textId="77777777" w:rsidR="004C7B99" w:rsidRPr="00F833FD" w:rsidRDefault="00F032F4" w:rsidP="00F833FD">
      <w:pPr>
        <w:ind w:firstLine="426"/>
        <w:jc w:val="both"/>
      </w:pPr>
      <w:r w:rsidRPr="00F833FD">
        <w:t>2.1. Экологические факторы (E): от внешних эффектов к внутренним издержкам и активам</w:t>
      </w:r>
    </w:p>
    <w:p w14:paraId="462F227E" w14:textId="77777777" w:rsidR="004C7B99" w:rsidRPr="00F833FD" w:rsidRDefault="00F032F4" w:rsidP="00F833FD">
      <w:pPr>
        <w:ind w:firstLine="426"/>
        <w:jc w:val="both"/>
      </w:pPr>
      <w:r w:rsidRPr="00F833FD">
        <w:t>В современной интерпретации экологические показатели, такие как выбросы парниковых газов, потребление воды, управление отходами и биоразнообразие, перестали быть исключительно предметом отчетов по корпоративной социальной ответственности. В таких капиталоемких и ресурсоемких отраслях, как авиация, энергетика и металлургия, они трансформируются в прямые финансовые категории, оказывающие влияние на структуру затрат, инвестиционные решения и даже балансовую стоимость активов [7].</w:t>
      </w:r>
    </w:p>
    <w:p w14:paraId="720D083F" w14:textId="77777777" w:rsidR="00F4329F" w:rsidRPr="00F833FD" w:rsidRDefault="00F032F4" w:rsidP="00F833FD">
      <w:pPr>
        <w:pStyle w:val="a4"/>
        <w:numPr>
          <w:ilvl w:val="0"/>
          <w:numId w:val="4"/>
        </w:numPr>
        <w:ind w:left="0" w:firstLine="426"/>
        <w:jc w:val="both"/>
      </w:pPr>
      <w:r w:rsidRPr="00F833FD">
        <w:rPr>
          <w:rStyle w:val="MdStrong"/>
        </w:rPr>
        <w:t>Углеродный налог и квоты (CORSIA, EU ETS):</w:t>
      </w:r>
      <w:r w:rsidRPr="00F833FD">
        <w:t xml:space="preserve"> </w:t>
      </w:r>
    </w:p>
    <w:p w14:paraId="79024561" w14:textId="77777777" w:rsidR="004C7B99" w:rsidRPr="00F833FD" w:rsidRDefault="00F032F4" w:rsidP="00F833FD">
      <w:pPr>
        <w:ind w:firstLine="426"/>
        <w:jc w:val="both"/>
      </w:pPr>
      <w:r w:rsidRPr="00F833FD">
        <w:t>В авиационной отрасли, например, Международная организация гражданской авиации (ICAO) через схему CORSIA (</w:t>
      </w:r>
      <w:proofErr w:type="spellStart"/>
      <w:r w:rsidRPr="00F833FD">
        <w:t>Carbon</w:t>
      </w:r>
      <w:proofErr w:type="spellEnd"/>
      <w:r w:rsidRPr="00F833FD">
        <w:t xml:space="preserve"> </w:t>
      </w:r>
      <w:proofErr w:type="spellStart"/>
      <w:r w:rsidRPr="00F833FD">
        <w:t>Offsetting</w:t>
      </w:r>
      <w:proofErr w:type="spellEnd"/>
      <w:r w:rsidRPr="00F833FD">
        <w:t xml:space="preserve"> </w:t>
      </w:r>
      <w:proofErr w:type="spellStart"/>
      <w:r w:rsidRPr="00F833FD">
        <w:t>and</w:t>
      </w:r>
      <w:proofErr w:type="spellEnd"/>
      <w:r w:rsidRPr="00F833FD">
        <w:t xml:space="preserve"> </w:t>
      </w:r>
      <w:proofErr w:type="spellStart"/>
      <w:r w:rsidRPr="00F833FD">
        <w:t>Reduction</w:t>
      </w:r>
      <w:proofErr w:type="spellEnd"/>
      <w:r w:rsidRPr="00F833FD">
        <w:t xml:space="preserve"> </w:t>
      </w:r>
      <w:proofErr w:type="spellStart"/>
      <w:r w:rsidRPr="00F833FD">
        <w:t>Scheme</w:t>
      </w:r>
      <w:proofErr w:type="spellEnd"/>
      <w:r w:rsidRPr="00F833FD">
        <w:t xml:space="preserve"> </w:t>
      </w:r>
      <w:proofErr w:type="spellStart"/>
      <w:r w:rsidRPr="00F833FD">
        <w:t>for</w:t>
      </w:r>
      <w:proofErr w:type="spellEnd"/>
      <w:r w:rsidRPr="00F833FD">
        <w:t xml:space="preserve"> </w:t>
      </w:r>
      <w:proofErr w:type="spellStart"/>
      <w:r w:rsidRPr="00F833FD">
        <w:t>International</w:t>
      </w:r>
      <w:proofErr w:type="spellEnd"/>
      <w:r w:rsidRPr="00F833FD">
        <w:t xml:space="preserve"> </w:t>
      </w:r>
      <w:proofErr w:type="spellStart"/>
      <w:r w:rsidRPr="00F833FD">
        <w:t>Aviation</w:t>
      </w:r>
      <w:proofErr w:type="spellEnd"/>
      <w:r w:rsidRPr="00F833FD">
        <w:t>) и Европейский союз через систему торговли квотами на выбросы (EU ETS) вводят механизмы ценообразования на углерод. Эти механизмы интерпретируются финансовыми аналитиками как переменные затраты, которые напрямую снижают операционную маржу авиакомпаний. Неспособность сократить выбросы приводит к необходимости покупки квот, что увеличивает операционные расходы и снижает чистую прибыль. Для таких компаний, как Lufthansa Group, активно участвующих в EU ETS, эти издержки уже являются значительной статьей расходов [8].</w:t>
      </w:r>
    </w:p>
    <w:p w14:paraId="672C9B0A" w14:textId="77777777" w:rsidR="00F4329F" w:rsidRPr="00F833FD" w:rsidRDefault="00F032F4" w:rsidP="00F833FD">
      <w:pPr>
        <w:pStyle w:val="a4"/>
        <w:numPr>
          <w:ilvl w:val="0"/>
          <w:numId w:val="4"/>
        </w:numPr>
        <w:ind w:left="0" w:firstLine="426"/>
        <w:jc w:val="both"/>
        <w:rPr>
          <w:rStyle w:val="MdStrong"/>
        </w:rPr>
      </w:pPr>
      <w:r w:rsidRPr="00F833FD">
        <w:rPr>
          <w:rStyle w:val="MdStrong"/>
        </w:rPr>
        <w:t>Капитальные затраты (</w:t>
      </w:r>
      <w:proofErr w:type="spellStart"/>
      <w:r w:rsidRPr="00F833FD">
        <w:rPr>
          <w:rStyle w:val="MdStrong"/>
        </w:rPr>
        <w:t>CapEx</w:t>
      </w:r>
      <w:proofErr w:type="spellEnd"/>
      <w:r w:rsidRPr="00F833FD">
        <w:rPr>
          <w:rStyle w:val="MdStrong"/>
        </w:rPr>
        <w:t>) на декарбонизацию:</w:t>
      </w:r>
    </w:p>
    <w:p w14:paraId="3544B1C4" w14:textId="77777777" w:rsidR="004C7B99" w:rsidRPr="00F833FD" w:rsidRDefault="00F032F4" w:rsidP="00F833FD">
      <w:pPr>
        <w:ind w:firstLine="426"/>
        <w:jc w:val="both"/>
      </w:pPr>
      <w:r w:rsidRPr="00F833FD">
        <w:t>Необходимость достижения целей по сокращению выбросов требует колоссальных инвестиций в новые технологии и инфраструктуру. Это включает закупку более экономичных самолетов, разработку и использование устойчивого авиационного топлива (SAF), инвестиции в водородные или электрические двигатели. Эти капитальные затраты существенно меняют структуру денежных потоков на горизонте 10–15 лет, увеличивая инвестиционную нагрузку и потенциально снижая свободный денежный поток в краткосрочной перспективе, но обеспечивая долгосрочную устойчивость и конкурентоспособность [9].</w:t>
      </w:r>
    </w:p>
    <w:p w14:paraId="27646B98" w14:textId="77777777" w:rsidR="00F4329F" w:rsidRPr="00F833FD" w:rsidRDefault="00F032F4" w:rsidP="00F833FD">
      <w:pPr>
        <w:pStyle w:val="a4"/>
        <w:numPr>
          <w:ilvl w:val="0"/>
          <w:numId w:val="4"/>
        </w:numPr>
        <w:ind w:left="0" w:firstLine="426"/>
        <w:jc w:val="both"/>
      </w:pPr>
      <w:r w:rsidRPr="00F833FD">
        <w:rPr>
          <w:rStyle w:val="MdStrong"/>
        </w:rPr>
        <w:t>Риски «обесценения активов» (</w:t>
      </w:r>
      <w:proofErr w:type="spellStart"/>
      <w:r w:rsidRPr="00F833FD">
        <w:rPr>
          <w:rStyle w:val="MdStrong"/>
        </w:rPr>
        <w:t>Stranded</w:t>
      </w:r>
      <w:proofErr w:type="spellEnd"/>
      <w:r w:rsidRPr="00F833FD">
        <w:rPr>
          <w:rStyle w:val="MdStrong"/>
        </w:rPr>
        <w:t xml:space="preserve"> </w:t>
      </w:r>
      <w:proofErr w:type="spellStart"/>
      <w:r w:rsidRPr="00F833FD">
        <w:rPr>
          <w:rStyle w:val="MdStrong"/>
        </w:rPr>
        <w:t>Assets</w:t>
      </w:r>
      <w:proofErr w:type="spellEnd"/>
      <w:r w:rsidRPr="00F833FD">
        <w:rPr>
          <w:rStyle w:val="MdStrong"/>
        </w:rPr>
        <w:t>):</w:t>
      </w:r>
      <w:r w:rsidRPr="00F833FD">
        <w:t xml:space="preserve"> </w:t>
      </w:r>
    </w:p>
    <w:p w14:paraId="52807352" w14:textId="77777777" w:rsidR="004C7B99" w:rsidRPr="00F833FD" w:rsidRDefault="00F032F4" w:rsidP="00F833FD">
      <w:pPr>
        <w:ind w:firstLine="426"/>
        <w:jc w:val="both"/>
      </w:pPr>
      <w:r w:rsidRPr="00F833FD">
        <w:t xml:space="preserve">Активы, связанные с </w:t>
      </w:r>
      <w:proofErr w:type="spellStart"/>
      <w:r w:rsidRPr="00F833FD">
        <w:t>высокоуглеродной</w:t>
      </w:r>
      <w:proofErr w:type="spellEnd"/>
      <w:r w:rsidRPr="00F833FD">
        <w:t xml:space="preserve"> экономикой (например, старые, неэффективные самолеты), могут потерять свою экономическую ценность задолго до окончания физического срока службы из-за ужесточения экологического регулирования или изменения потребительских предпочтений. Это требует от аналитиков пересмотра сроков полезного использования активов и методов их обесценения, что напрямую влияет на балансовую стоимость и финансовые результаты [10].</w:t>
      </w:r>
    </w:p>
    <w:p w14:paraId="24D4E71C" w14:textId="77777777" w:rsidR="004C7B99" w:rsidRPr="00F833FD" w:rsidRDefault="00F032F4" w:rsidP="00F833FD">
      <w:pPr>
        <w:ind w:firstLine="426"/>
        <w:jc w:val="both"/>
      </w:pPr>
      <w:r w:rsidRPr="00F833FD">
        <w:t>2.2. Социальные факторы (S): от корпоративной благотворительности к операционной надежности и стоимости бренда</w:t>
      </w:r>
    </w:p>
    <w:p w14:paraId="16B2DA3E" w14:textId="77777777" w:rsidR="004C7B99" w:rsidRPr="00F833FD" w:rsidRDefault="00F032F4" w:rsidP="00F833FD">
      <w:pPr>
        <w:ind w:firstLine="426"/>
        <w:jc w:val="both"/>
      </w:pPr>
      <w:r w:rsidRPr="00F833FD">
        <w:t>Социальная составляющая ESG, охватывающая такие аспекты, как условия труда, безопасность, разнообразие и инклюзивность, отношения с местными сообществами и удовлетворенность клиентов, в современной интерпретации перестала быть исключительно вопросом корпоративной благотворительности. Теперь она рассматривается через призму операционной надежности, управления рисками и стоимости бренда [11].</w:t>
      </w:r>
    </w:p>
    <w:p w14:paraId="3953DF37" w14:textId="77777777" w:rsidR="004C7B99" w:rsidRPr="00F833FD" w:rsidRDefault="00F032F4" w:rsidP="00F833FD">
      <w:pPr>
        <w:pStyle w:val="a4"/>
        <w:numPr>
          <w:ilvl w:val="0"/>
          <w:numId w:val="4"/>
        </w:numPr>
        <w:ind w:left="0" w:firstLine="426"/>
        <w:jc w:val="both"/>
      </w:pPr>
      <w:r w:rsidRPr="00F833FD">
        <w:rPr>
          <w:rStyle w:val="MdStrong"/>
        </w:rPr>
        <w:t>Человеческий капитал и операционные риски:</w:t>
      </w:r>
      <w:r w:rsidRPr="00F833FD">
        <w:t xml:space="preserve"> Высокая текучесть кадров, низкие стандарты безопасности труда или отсутствие инвестиций в обучение персонала в </w:t>
      </w:r>
      <w:r w:rsidRPr="00F833FD">
        <w:lastRenderedPageBreak/>
        <w:t xml:space="preserve">авиакомпании — это не просто «социальная проблема». Это прямой индикатор будущих операционных рисков, таких как задержки рейсов из-за нехватки персонала, увеличение числа инцидентов, рост затрат на страхование, юридические споры и найм нового персонала. Для таких глобальных перевозчиков, как </w:t>
      </w:r>
      <w:proofErr w:type="spellStart"/>
      <w:r w:rsidRPr="00F833FD">
        <w:t>Qatar</w:t>
      </w:r>
      <w:proofErr w:type="spellEnd"/>
      <w:r w:rsidRPr="00F833FD">
        <w:t xml:space="preserve"> </w:t>
      </w:r>
      <w:proofErr w:type="spellStart"/>
      <w:r w:rsidRPr="00F833FD">
        <w:t>Airways</w:t>
      </w:r>
      <w:proofErr w:type="spellEnd"/>
      <w:r w:rsidRPr="00F833FD">
        <w:t>, управляющих многонациональным персоналом, эффективное управление человеческим капиталом является критически важным для поддержания операционной стабильности и репутации [12].</w:t>
      </w:r>
    </w:p>
    <w:p w14:paraId="61A718CB" w14:textId="77777777" w:rsidR="004C7B99" w:rsidRPr="00F833FD" w:rsidRDefault="00F032F4" w:rsidP="00F833FD">
      <w:pPr>
        <w:pStyle w:val="a4"/>
        <w:numPr>
          <w:ilvl w:val="0"/>
          <w:numId w:val="4"/>
        </w:numPr>
        <w:ind w:left="0" w:firstLine="426"/>
        <w:jc w:val="both"/>
      </w:pPr>
      <w:r w:rsidRPr="00F833FD">
        <w:rPr>
          <w:rStyle w:val="MdStrong"/>
        </w:rPr>
        <w:t>Лояльность клиентов и стоимость бренда:</w:t>
      </w:r>
      <w:r w:rsidRPr="00F833FD">
        <w:t xml:space="preserve"> Потребители все чаще выбирают компании, которые демонстрируют высокую социальную ответственность. Инвестиции в социальные программы, этичные цепочки поставок и поддержку местных сообществ могут повысить лояльность клиентов и укрепить стоимость бренда. Это, в свою очередь, может привести к увеличению выручки, снижению маркетинговых затрат и повышению ценовой власти компании. Delta Air Lines, например, активно связывает свою социальную активность через «The Delta Air Lines Foundation» с лояльностью клиентов и удержанием персонала, что является стратегическим преимуществом в условиях дефицита квалифицированных кадров в авиации США [13].</w:t>
      </w:r>
    </w:p>
    <w:p w14:paraId="626F1F73" w14:textId="77777777" w:rsidR="004C7B99" w:rsidRPr="00F833FD" w:rsidRDefault="00F032F4" w:rsidP="00F833FD">
      <w:pPr>
        <w:pStyle w:val="a4"/>
        <w:numPr>
          <w:ilvl w:val="0"/>
          <w:numId w:val="4"/>
        </w:numPr>
        <w:ind w:left="0" w:firstLine="426"/>
        <w:jc w:val="both"/>
      </w:pPr>
      <w:r w:rsidRPr="00F833FD">
        <w:rPr>
          <w:rStyle w:val="MdStrong"/>
        </w:rPr>
        <w:t>Регуляторные и репутационные риски:</w:t>
      </w:r>
      <w:r w:rsidRPr="00F833FD">
        <w:t xml:space="preserve"> Нарушения социальных стандартов могут привести к штрафам, санкциям и серьезному ущербу для репутации, что напрямую влияет на финансовые показатели и доступ к рынкам капитала. Скандалы, связанные с нарушением прав человека или трудового законодательства, могут привести к бойкоту со стороны потребителей и инвесторов.</w:t>
      </w:r>
    </w:p>
    <w:p w14:paraId="656E5C3A" w14:textId="77777777" w:rsidR="004C7B99" w:rsidRPr="00F833FD" w:rsidRDefault="00F032F4" w:rsidP="00F833FD">
      <w:pPr>
        <w:ind w:firstLine="426"/>
        <w:jc w:val="both"/>
      </w:pPr>
      <w:r w:rsidRPr="00F833FD">
        <w:t>2.3. Управленческие факторы (G): от формального соответствия к премии за прозрачность и эффективность</w:t>
      </w:r>
    </w:p>
    <w:p w14:paraId="55D4FB2E" w14:textId="77777777" w:rsidR="004C7B99" w:rsidRPr="00F833FD" w:rsidRDefault="00F032F4" w:rsidP="00F833FD">
      <w:pPr>
        <w:ind w:firstLine="426"/>
        <w:jc w:val="both"/>
      </w:pPr>
      <w:r w:rsidRPr="00F833FD">
        <w:t>Качество корпоративного управления (</w:t>
      </w:r>
      <w:proofErr w:type="spellStart"/>
      <w:r w:rsidRPr="00F833FD">
        <w:t>Governance</w:t>
      </w:r>
      <w:proofErr w:type="spellEnd"/>
      <w:r w:rsidRPr="00F833FD">
        <w:t xml:space="preserve">), включающее структуру совета директоров, прозрачность вознаграждения топ-менеджмента, этические стандарты, антикоррупционные политики и права акционеров, традиционно считалось «мягким» фактором, трудно поддающимся количественной оценке. Однако в условиях ESG-трансформации оно </w:t>
      </w:r>
      <w:proofErr w:type="spellStart"/>
      <w:r w:rsidRPr="00F833FD">
        <w:t>квантифицируется</w:t>
      </w:r>
      <w:proofErr w:type="spellEnd"/>
      <w:r w:rsidRPr="00F833FD">
        <w:t xml:space="preserve"> через «премию за прозрачность» или «дисконт за риск управления» [14].</w:t>
      </w:r>
    </w:p>
    <w:p w14:paraId="46D90295" w14:textId="77777777" w:rsidR="004C7B99" w:rsidRPr="00F833FD" w:rsidRDefault="00F032F4" w:rsidP="00F833FD">
      <w:pPr>
        <w:pStyle w:val="a4"/>
        <w:numPr>
          <w:ilvl w:val="0"/>
          <w:numId w:val="5"/>
        </w:numPr>
        <w:ind w:left="0" w:firstLine="426"/>
        <w:jc w:val="both"/>
      </w:pPr>
      <w:r w:rsidRPr="00F833FD">
        <w:rPr>
          <w:rStyle w:val="MdStrong"/>
        </w:rPr>
        <w:t>Снижение стоимости капитала:</w:t>
      </w:r>
      <w:r w:rsidRPr="00F833FD">
        <w:t xml:space="preserve"> Компании с сильным корпоративным управлением, независимым советом директоров, прозрачной структурой собственности и эффективными системами внутреннего контроля воспринимаются инвесторами как менее рискованные. Это может привести к снижению стоимости заимствований (снижение процентных ставок по кредитам и облигациям) и увеличению мультипликаторов оценки (например, P/E, EV/EBITDA), что напрямую влияет на рыночную капитализацию. Для компаний на развивающихся рынках, таких как </w:t>
      </w:r>
      <w:proofErr w:type="spellStart"/>
      <w:r w:rsidRPr="00F833FD">
        <w:t>Air</w:t>
      </w:r>
      <w:proofErr w:type="spellEnd"/>
      <w:r w:rsidRPr="00F833FD">
        <w:t xml:space="preserve"> </w:t>
      </w:r>
      <w:proofErr w:type="spellStart"/>
      <w:r w:rsidRPr="00F833FD">
        <w:t>Astana</w:t>
      </w:r>
      <w:proofErr w:type="spellEnd"/>
      <w:r w:rsidRPr="00F833FD">
        <w:t>, прозрачность корпоративного управления и соответствие международным практикам являются ключевыми факторами для привлечения иностранных инвестиций и снижения стоимости капитала после IPO [15].</w:t>
      </w:r>
    </w:p>
    <w:p w14:paraId="0E44F1B6" w14:textId="77777777" w:rsidR="004C7B99" w:rsidRPr="00F833FD" w:rsidRDefault="00F032F4" w:rsidP="00F833FD">
      <w:pPr>
        <w:pStyle w:val="a4"/>
        <w:numPr>
          <w:ilvl w:val="0"/>
          <w:numId w:val="5"/>
        </w:numPr>
        <w:ind w:left="0" w:firstLine="426"/>
        <w:jc w:val="both"/>
      </w:pPr>
      <w:r w:rsidRPr="00F833FD">
        <w:rPr>
          <w:rStyle w:val="MdStrong"/>
        </w:rPr>
        <w:t>Эффективность принятия решений:</w:t>
      </w:r>
      <w:r w:rsidRPr="00F833FD">
        <w:t xml:space="preserve"> Сильное управление обеспечивает более эффективное распределение ресурсов, снижение агентских издержек и лучшую адаптацию к меняющимся рыночным условиям. Это проявляется в более высоких операционных показателях и устойчивом росте. Напротив, компании с непрозрачной структурой собственности, конфликтами интересов или слабым советом директоров торгуются с дисконтом к справедливой стоимости, так как риск нецелевого использования капитала или принятия неоптимальных решений оценивается рынком выше [16].</w:t>
      </w:r>
    </w:p>
    <w:p w14:paraId="05F995F5" w14:textId="77777777" w:rsidR="004C7B99" w:rsidRPr="00F833FD" w:rsidRDefault="00F032F4" w:rsidP="00F833FD">
      <w:pPr>
        <w:pStyle w:val="a4"/>
        <w:numPr>
          <w:ilvl w:val="0"/>
          <w:numId w:val="5"/>
        </w:numPr>
        <w:ind w:left="0" w:firstLine="426"/>
        <w:jc w:val="both"/>
      </w:pPr>
      <w:r w:rsidRPr="00F833FD">
        <w:rPr>
          <w:rStyle w:val="MdStrong"/>
        </w:rPr>
        <w:t>Интеграция ESG в стратегию:</w:t>
      </w:r>
      <w:r w:rsidRPr="00F833FD">
        <w:t xml:space="preserve"> Качество управления определяет, насколько эффективно ESG-факторы интегрируются в общую бизнес-стратегию компании, а не остаются лишь формальным элементом отчетности. Это включает установление четких целей по устойчивому развитию, привязку вознаграждения топ-менеджмента к достижению этих целей и регулярное раскрытие информации о прогрессе. Lufthansa Group, например, напрямую связывает удельные выбросы CO2 с бонусной программой топ-менеджмента, что является ярким примером эффективной интеграции G-фактора в стратегическое управление [17].</w:t>
      </w:r>
    </w:p>
    <w:p w14:paraId="70E83DCD" w14:textId="77777777" w:rsidR="004C7B99" w:rsidRPr="00F833FD" w:rsidRDefault="00F032F4" w:rsidP="00F833FD">
      <w:pPr>
        <w:ind w:firstLine="426"/>
        <w:jc w:val="both"/>
      </w:pPr>
      <w:r w:rsidRPr="00F833FD">
        <w:lastRenderedPageBreak/>
        <w:t>Таким образом, ESG-факторы перестали быть второстепенными аспектами деятельности компаний. Они стали неотъемлемой частью финансовой интерпретации, влияя на оценку рисков, стоимость капитала, операционную эффективность и долгосрочную стоимость бизнеса. Аналитики, игнорирующие эти факторы, рискуют получить искаженную картину финансового состояния и перспектив коммерческих организаций.</w:t>
      </w:r>
    </w:p>
    <w:p w14:paraId="13FECF83" w14:textId="77777777" w:rsidR="004C7B99" w:rsidRPr="00F833FD" w:rsidRDefault="00F032F4" w:rsidP="00F833FD">
      <w:pPr>
        <w:ind w:firstLine="426"/>
        <w:jc w:val="both"/>
      </w:pPr>
      <w:r w:rsidRPr="00F833FD">
        <w:t>3. Методология интеграции ESG-показателей в систему финансового анализа: количественные подходы и моделирование</w:t>
      </w:r>
    </w:p>
    <w:p w14:paraId="316BA36A" w14:textId="77777777" w:rsidR="004C7B99" w:rsidRPr="00F833FD" w:rsidRDefault="00F032F4" w:rsidP="00F833FD">
      <w:pPr>
        <w:ind w:firstLine="426"/>
        <w:jc w:val="both"/>
      </w:pPr>
      <w:r w:rsidRPr="00F833FD">
        <w:t xml:space="preserve">Для того чтобы ESG-факторы перестали быть лишь качественными описаниями и стали полноценной частью финансовой интерпретации, необходимо их систематическое включение в стандартные математические модели оценки стоимости бизнеса и финансового анализа. Этот процесс требует не только адаптации существующих моделей, но и разработки новых аналитических инструментов, способных </w:t>
      </w:r>
      <w:proofErr w:type="spellStart"/>
      <w:r w:rsidRPr="00F833FD">
        <w:t>квантифицировать</w:t>
      </w:r>
      <w:proofErr w:type="spellEnd"/>
      <w:r w:rsidRPr="00F833FD">
        <w:t xml:space="preserve"> влияние нефинансовых рисков и возможностей на финансовые показатели компании.</w:t>
      </w:r>
    </w:p>
    <w:p w14:paraId="0968F6A6" w14:textId="77777777" w:rsidR="004C7B99" w:rsidRPr="00F833FD" w:rsidRDefault="00F032F4" w:rsidP="00F833FD">
      <w:pPr>
        <w:ind w:firstLine="426"/>
        <w:jc w:val="both"/>
      </w:pPr>
      <w:r w:rsidRPr="00F833FD">
        <w:t>3.1. Модифицированная модель средневзвешенной стоимости капитала (ESG-WACC)</w:t>
      </w:r>
    </w:p>
    <w:p w14:paraId="1ACAE951" w14:textId="77777777" w:rsidR="004C7B99" w:rsidRPr="00F833FD" w:rsidRDefault="00F032F4" w:rsidP="00F833FD">
      <w:pPr>
        <w:ind w:firstLine="426"/>
        <w:jc w:val="both"/>
      </w:pPr>
      <w:r w:rsidRPr="00F833FD">
        <w:t xml:space="preserve">Средневзвешенная стоимость капитала (WACC – </w:t>
      </w:r>
      <w:proofErr w:type="spellStart"/>
      <w:r w:rsidRPr="00F833FD">
        <w:t>Weighted</w:t>
      </w:r>
      <w:proofErr w:type="spellEnd"/>
      <w:r w:rsidRPr="00F833FD">
        <w:t xml:space="preserve"> </w:t>
      </w:r>
      <w:proofErr w:type="spellStart"/>
      <w:r w:rsidRPr="00F833FD">
        <w:t>Average</w:t>
      </w:r>
      <w:proofErr w:type="spellEnd"/>
      <w:r w:rsidRPr="00F833FD">
        <w:t xml:space="preserve"> </w:t>
      </w:r>
      <w:proofErr w:type="spellStart"/>
      <w:r w:rsidRPr="00F833FD">
        <w:t>Cost</w:t>
      </w:r>
      <w:proofErr w:type="spellEnd"/>
      <w:r w:rsidRPr="00F833FD">
        <w:t xml:space="preserve"> </w:t>
      </w:r>
      <w:proofErr w:type="spellStart"/>
      <w:r w:rsidRPr="00F833FD">
        <w:t>of</w:t>
      </w:r>
      <w:proofErr w:type="spellEnd"/>
      <w:r w:rsidRPr="00F833FD">
        <w:t xml:space="preserve"> Capital) является краеугольным камнем в оценке инвестиционных проектов и стоимости компании в целом. Традиционно WACC рассчитывается как средневзвешенное значение стоимости собственного капитала и стоимости заемного капитала, скорректированной на налоговый щит. Однако в условиях ESG-трансформации эта модель требует модификации для учета ESG-рисков и возможностей [18].</w:t>
      </w:r>
    </w:p>
    <w:p w14:paraId="756585F0" w14:textId="77777777" w:rsidR="003F3E88" w:rsidRPr="00F833FD" w:rsidRDefault="00F032F4" w:rsidP="00F833FD">
      <w:pPr>
        <w:ind w:firstLine="426"/>
        <w:jc w:val="both"/>
        <w:rPr>
          <w:rStyle w:val="MdStrong"/>
        </w:rPr>
      </w:pPr>
      <w:r w:rsidRPr="00F833FD">
        <w:rPr>
          <w:rStyle w:val="MdStrong"/>
        </w:rPr>
        <w:t>Традиционная формула WACC:</w:t>
      </w:r>
    </w:p>
    <w:p w14:paraId="52D04D42" w14:textId="0123A262" w:rsidR="007F58A3" w:rsidRPr="00F833FD" w:rsidRDefault="00320A42" w:rsidP="00F833FD">
      <w:pPr>
        <w:ind w:firstLine="426"/>
        <w:jc w:val="both"/>
        <w:rPr>
          <w:rStyle w:val="MdStrong"/>
        </w:rPr>
      </w:pPr>
      <w:r w:rsidRPr="00F833FD">
        <w:rPr>
          <w:rStyle w:val="MdStrong"/>
          <w:noProof/>
          <w:lang w:val="en-US"/>
        </w:rPr>
        <w:drawing>
          <wp:anchor distT="0" distB="0" distL="114300" distR="114300" simplePos="0" relativeHeight="251659264" behindDoc="0" locked="0" layoutInCell="1" allowOverlap="1" wp14:anchorId="52D6ABC1" wp14:editId="07E7939B">
            <wp:simplePos x="0" y="0"/>
            <wp:positionH relativeFrom="column">
              <wp:posOffset>1320800</wp:posOffset>
            </wp:positionH>
            <wp:positionV relativeFrom="paragraph">
              <wp:posOffset>165100</wp:posOffset>
            </wp:positionV>
            <wp:extent cx="2790825" cy="447675"/>
            <wp:effectExtent l="0" t="0" r="9525" b="9525"/>
            <wp:wrapThrough wrapText="bothSides">
              <wp:wrapPolygon edited="1">
                <wp:start x="-242" y="3352"/>
                <wp:lineTo x="0" y="20110"/>
                <wp:lineTo x="21278" y="20110"/>
                <wp:lineTo x="21157" y="2234"/>
                <wp:lineTo x="11848" y="3352"/>
                <wp:lineTo x="-242" y="3352"/>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t="25862"/>
                    <a:stretch/>
                  </pic:blipFill>
                  <pic:spPr bwMode="auto">
                    <a:xfrm>
                      <a:off x="0" y="0"/>
                      <a:ext cx="2790825"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30CD99" w14:textId="196CE1EB" w:rsidR="007F58A3" w:rsidRPr="00F833FD" w:rsidRDefault="007F58A3" w:rsidP="00F833FD">
      <w:pPr>
        <w:ind w:firstLine="426"/>
        <w:jc w:val="both"/>
      </w:pPr>
    </w:p>
    <w:p w14:paraId="174C1A49" w14:textId="77777777" w:rsidR="007F58A3" w:rsidRPr="00F833FD" w:rsidRDefault="007F58A3" w:rsidP="00F833FD">
      <w:pPr>
        <w:ind w:firstLine="426"/>
        <w:jc w:val="both"/>
      </w:pPr>
      <w:r w:rsidRPr="00F833FD">
        <w:t>Где,</w:t>
      </w:r>
    </w:p>
    <w:p w14:paraId="47D7CCBD" w14:textId="77777777" w:rsidR="00F833FD" w:rsidRDefault="007F58A3" w:rsidP="00F833FD">
      <w:pPr>
        <w:ind w:firstLine="426"/>
        <w:jc w:val="both"/>
      </w:pPr>
      <w:r w:rsidRPr="00F833FD">
        <w:t>E – рыночная с</w:t>
      </w:r>
      <w:r w:rsidR="00F833FD">
        <w:t>тоимость собственного капитала,</w:t>
      </w:r>
    </w:p>
    <w:p w14:paraId="553D1793" w14:textId="77777777" w:rsidR="00F833FD" w:rsidRDefault="007F58A3" w:rsidP="00F833FD">
      <w:pPr>
        <w:ind w:firstLine="426"/>
        <w:jc w:val="both"/>
      </w:pPr>
      <w:r w:rsidRPr="00F833FD">
        <w:t>D – рыночн</w:t>
      </w:r>
      <w:r w:rsidR="00F833FD">
        <w:t>ая стоимость заемного капитала,</w:t>
      </w:r>
    </w:p>
    <w:p w14:paraId="77A3DC26" w14:textId="77777777" w:rsidR="00F833FD" w:rsidRDefault="007F58A3" w:rsidP="00F833FD">
      <w:pPr>
        <w:ind w:firstLine="426"/>
        <w:jc w:val="both"/>
      </w:pPr>
      <w:r w:rsidRPr="00F833FD">
        <w:t>V –</w:t>
      </w:r>
      <w:r w:rsidR="00F833FD">
        <w:t xml:space="preserve"> совокупная стоимость </w:t>
      </w:r>
      <w:proofErr w:type="spellStart"/>
      <w:r w:rsidR="00F833FD">
        <w:t>капитала,</w:t>
      </w:r>
    </w:p>
    <w:p w14:paraId="7751D6CF" w14:textId="77777777" w:rsidR="00F833FD" w:rsidRDefault="007F58A3" w:rsidP="00F833FD">
      <w:pPr>
        <w:ind w:firstLine="426"/>
        <w:jc w:val="both"/>
      </w:pPr>
      <w:r w:rsidRPr="00F833FD">
        <w:t>R</w:t>
      </w:r>
      <w:r w:rsidRPr="00F833FD">
        <w:rPr>
          <w:vertAlign w:val="subscript"/>
        </w:rPr>
        <w:t>e</w:t>
      </w:r>
      <w:proofErr w:type="spellEnd"/>
      <w:r w:rsidRPr="00F833FD">
        <w:t xml:space="preserve">– стоимость </w:t>
      </w:r>
      <w:r w:rsidR="00F833FD">
        <w:t xml:space="preserve">собственного </w:t>
      </w:r>
      <w:proofErr w:type="spellStart"/>
      <w:r w:rsidR="00F833FD">
        <w:t>капитала,</w:t>
      </w:r>
    </w:p>
    <w:p w14:paraId="56D09BCF" w14:textId="77777777" w:rsidR="00F833FD" w:rsidRDefault="007F58A3" w:rsidP="00F833FD">
      <w:pPr>
        <w:ind w:firstLine="426"/>
        <w:jc w:val="both"/>
      </w:pPr>
      <w:r w:rsidRPr="00F833FD">
        <w:t>R</w:t>
      </w:r>
      <w:r w:rsidRPr="00F833FD">
        <w:rPr>
          <w:vertAlign w:val="subscript"/>
        </w:rPr>
        <w:t>d</w:t>
      </w:r>
      <w:proofErr w:type="spellEnd"/>
      <w:r w:rsidR="00F833FD">
        <w:t>– стоимость заемного капитала,</w:t>
      </w:r>
    </w:p>
    <w:p w14:paraId="5D9922BB" w14:textId="2B437AF4" w:rsidR="004C7B99" w:rsidRPr="00F833FD" w:rsidRDefault="007F58A3" w:rsidP="00F833FD">
      <w:pPr>
        <w:ind w:firstLine="426"/>
        <w:jc w:val="both"/>
      </w:pPr>
      <w:r w:rsidRPr="00F833FD">
        <w:t>T – ставка налога на прибыль.</w:t>
      </w:r>
    </w:p>
    <w:p w14:paraId="77476680" w14:textId="77777777" w:rsidR="004C7B99" w:rsidRPr="00F833FD" w:rsidRDefault="00F032F4" w:rsidP="00F833FD">
      <w:pPr>
        <w:ind w:firstLine="426"/>
        <w:jc w:val="both"/>
      </w:pPr>
      <w:r w:rsidRPr="00F833FD">
        <w:rPr>
          <w:rStyle w:val="MdStrong"/>
        </w:rPr>
        <w:t>Модификация WACC с учетом ESG-факторов (ESG-WACC):</w:t>
      </w:r>
    </w:p>
    <w:p w14:paraId="3057E1C3" w14:textId="1E8969A4" w:rsidR="004C7B99" w:rsidRPr="00F833FD" w:rsidRDefault="00F032F4" w:rsidP="00F833FD">
      <w:pPr>
        <w:ind w:firstLine="426"/>
        <w:jc w:val="both"/>
      </w:pPr>
      <w:r w:rsidRPr="00F833FD">
        <w:t>Интеграция ESG-факторов в WACC может быть реализована путем корректировки стоимости собственного капитала и/или стоим</w:t>
      </w:r>
      <w:r w:rsidR="00F833FD" w:rsidRPr="00F833FD">
        <w:t xml:space="preserve">ости заемного капитала </w:t>
      </w:r>
      <w:r w:rsidRPr="00F833FD">
        <w:t>на премию или дисконт, связанный с ESG-профилем компании. Наиболее распространенный подход заключается во введении ESG-премии/дисконта к стоимости собственного капитала, отражающей изменение воспринимаемого инвесторами риска [19].</w:t>
      </w:r>
    </w:p>
    <w:p w14:paraId="367CC3EB" w14:textId="73C98242" w:rsidR="004C7B99" w:rsidRPr="00F833FD" w:rsidRDefault="00320A42" w:rsidP="00F833FD">
      <w:pPr>
        <w:ind w:firstLine="426"/>
        <w:jc w:val="both"/>
      </w:pPr>
      <w:r w:rsidRPr="00F833FD">
        <w:rPr>
          <w:noProof/>
          <w:lang w:val="en-US"/>
        </w:rPr>
        <w:drawing>
          <wp:anchor distT="0" distB="0" distL="114300" distR="114300" simplePos="0" relativeHeight="251661312" behindDoc="0" locked="0" layoutInCell="1" allowOverlap="1" wp14:anchorId="5D9683CF" wp14:editId="3FAF3ED8">
            <wp:simplePos x="0" y="0"/>
            <wp:positionH relativeFrom="column">
              <wp:posOffset>1524000</wp:posOffset>
            </wp:positionH>
            <wp:positionV relativeFrom="paragraph">
              <wp:posOffset>172085</wp:posOffset>
            </wp:positionV>
            <wp:extent cx="3149600" cy="4445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149600" cy="444500"/>
                    </a:xfrm>
                    <a:prstGeom prst="rect">
                      <a:avLst/>
                    </a:prstGeom>
                  </pic:spPr>
                </pic:pic>
              </a:graphicData>
            </a:graphic>
            <wp14:sizeRelH relativeFrom="page">
              <wp14:pctWidth>0</wp14:pctWidth>
            </wp14:sizeRelH>
            <wp14:sizeRelV relativeFrom="page">
              <wp14:pctHeight>0</wp14:pctHeight>
            </wp14:sizeRelV>
          </wp:anchor>
        </w:drawing>
      </w:r>
    </w:p>
    <w:p w14:paraId="6B74CC2F" w14:textId="41584E88" w:rsidR="004C7B99" w:rsidRPr="00F833FD" w:rsidRDefault="004C7B99" w:rsidP="00F833FD">
      <w:pPr>
        <w:ind w:firstLine="426"/>
        <w:jc w:val="both"/>
      </w:pPr>
    </w:p>
    <w:p w14:paraId="7ACA21A7" w14:textId="77777777" w:rsidR="007F58A3" w:rsidRPr="00F833FD" w:rsidRDefault="007F58A3" w:rsidP="00F833FD">
      <w:pPr>
        <w:ind w:firstLine="426"/>
        <w:jc w:val="both"/>
      </w:pPr>
    </w:p>
    <w:p w14:paraId="51B8001E" w14:textId="77777777" w:rsidR="00F833FD" w:rsidRDefault="00F833FD" w:rsidP="00F833FD">
      <w:pPr>
        <w:ind w:firstLine="426"/>
        <w:jc w:val="both"/>
      </w:pPr>
    </w:p>
    <w:p w14:paraId="377A0A2A" w14:textId="1BF644BE" w:rsidR="004C7B99" w:rsidRPr="00F833FD" w:rsidRDefault="00F032F4" w:rsidP="00F833FD">
      <w:pPr>
        <w:ind w:firstLine="426"/>
        <w:jc w:val="both"/>
      </w:pPr>
      <w:r w:rsidRPr="00F833FD">
        <w:t xml:space="preserve">где </w:t>
      </w:r>
      <w:r w:rsidR="007F58A3" w:rsidRPr="00F833FD">
        <w:rPr>
          <w:rStyle w:val="katex-mathml"/>
          <w:i/>
          <w:iCs/>
        </w:rPr>
        <w:t>π</w:t>
      </w:r>
      <w:r w:rsidR="007F58A3" w:rsidRPr="00F833FD">
        <w:rPr>
          <w:rStyle w:val="katex-mathml"/>
          <w:i/>
          <w:iCs/>
          <w:vertAlign w:val="subscript"/>
        </w:rPr>
        <w:t>ESG</w:t>
      </w:r>
      <w:r w:rsidRPr="00F833FD">
        <w:t xml:space="preserve"> – премия за ESG-риск, которая может быть:</w:t>
      </w:r>
    </w:p>
    <w:p w14:paraId="5FE4C8E5" w14:textId="77777777" w:rsidR="004C7B99" w:rsidRPr="00F833FD" w:rsidRDefault="00F032F4" w:rsidP="00F833FD">
      <w:pPr>
        <w:ind w:firstLine="426"/>
        <w:jc w:val="both"/>
      </w:pPr>
      <w:r w:rsidRPr="00F833FD">
        <w:rPr>
          <w:rStyle w:val="MdStrong"/>
        </w:rPr>
        <w:t>Положительной</w:t>
      </w:r>
      <w:r w:rsidRPr="00F833FD">
        <w:t xml:space="preserve"> (увеличивает </w:t>
      </w:r>
      <w:r w:rsidR="007F58A3" w:rsidRPr="00F833FD">
        <w:t>R</w:t>
      </w:r>
      <w:r w:rsidR="007F58A3" w:rsidRPr="00F833FD">
        <w:rPr>
          <w:vertAlign w:val="subscript"/>
        </w:rPr>
        <w:t>e</w:t>
      </w:r>
      <w:r w:rsidRPr="00F833FD">
        <w:t>) для компаний с низким ESG-рейтингом, высоким уровнем нефинансовых рисков (например, значительные выбросы CO2, плохие условия труда, коррупционные скандалы). Это отражает требование инвесторов к более высокой доходности за принятие на себя дополнительных рисков.</w:t>
      </w:r>
    </w:p>
    <w:p w14:paraId="66FBD8A6" w14:textId="77777777" w:rsidR="004C7B99" w:rsidRPr="00F833FD" w:rsidRDefault="00F032F4" w:rsidP="00F833FD">
      <w:pPr>
        <w:ind w:firstLine="426"/>
        <w:jc w:val="both"/>
      </w:pPr>
      <w:r w:rsidRPr="00F833FD">
        <w:rPr>
          <w:rStyle w:val="MdStrong"/>
        </w:rPr>
        <w:t>Отрицательной</w:t>
      </w:r>
      <w:r w:rsidRPr="00F833FD">
        <w:t xml:space="preserve"> (уменьшает </w:t>
      </w:r>
      <w:r w:rsidR="007F58A3" w:rsidRPr="00F833FD">
        <w:t>R</w:t>
      </w:r>
      <w:r w:rsidR="007F58A3" w:rsidRPr="00F833FD">
        <w:rPr>
          <w:vertAlign w:val="subscript"/>
        </w:rPr>
        <w:t>e</w:t>
      </w:r>
      <w:r w:rsidRPr="00F833FD">
        <w:t>) для компаний-лидеров в области ESG, демонстрирующих высокую устойчивость, прозрачность и ответственное отношение к окружающей среде и обществу. Это означает, что инвесторы готовы принимать меньшую доходность, поскольку такие компании воспринимаются как более надежные и менее рискованные в долгосрочной перспективе.</w:t>
      </w:r>
    </w:p>
    <w:p w14:paraId="05F32BF5" w14:textId="77777777" w:rsidR="004C7B99" w:rsidRPr="00F833FD" w:rsidRDefault="00F032F4" w:rsidP="00F833FD">
      <w:pPr>
        <w:ind w:firstLine="426"/>
        <w:jc w:val="both"/>
        <w:rPr>
          <w:rStyle w:val="MdStrong"/>
        </w:rPr>
      </w:pPr>
      <w:r w:rsidRPr="00F833FD">
        <w:rPr>
          <w:rStyle w:val="MdStrong"/>
        </w:rPr>
        <w:t xml:space="preserve">Методы определения </w:t>
      </w:r>
      <w:r w:rsidR="007F58A3" w:rsidRPr="00F833FD">
        <w:rPr>
          <w:rStyle w:val="MdStrong"/>
        </w:rPr>
        <w:t>π</w:t>
      </w:r>
      <w:r w:rsidR="007F58A3" w:rsidRPr="00F833FD">
        <w:rPr>
          <w:rStyle w:val="MdStrong"/>
          <w:vertAlign w:val="subscript"/>
        </w:rPr>
        <w:t>ESG</w:t>
      </w:r>
      <w:r w:rsidRPr="00F833FD">
        <w:rPr>
          <w:rStyle w:val="MdStrong"/>
        </w:rPr>
        <w:t>:</w:t>
      </w:r>
    </w:p>
    <w:p w14:paraId="5CEA19F6" w14:textId="77777777" w:rsidR="004C7B99" w:rsidRPr="00F833FD" w:rsidRDefault="00F032F4" w:rsidP="00F833FD">
      <w:pPr>
        <w:ind w:firstLine="426"/>
        <w:jc w:val="both"/>
      </w:pPr>
      <w:r w:rsidRPr="00F833FD">
        <w:rPr>
          <w:rStyle w:val="MdStrong"/>
        </w:rPr>
        <w:lastRenderedPageBreak/>
        <w:t>На основе ESG-рейтингов:</w:t>
      </w:r>
      <w:r w:rsidRPr="00F833FD">
        <w:t xml:space="preserve"> Анализ корреляции между ESG-рейтингами (от MSCI, </w:t>
      </w:r>
      <w:proofErr w:type="spellStart"/>
      <w:r w:rsidRPr="00F833FD">
        <w:t>Sustainalytics</w:t>
      </w:r>
      <w:proofErr w:type="spellEnd"/>
      <w:r w:rsidRPr="00F833FD">
        <w:t xml:space="preserve">, </w:t>
      </w:r>
      <w:proofErr w:type="spellStart"/>
      <w:r w:rsidRPr="00F833FD">
        <w:t>Refinitiv</w:t>
      </w:r>
      <w:proofErr w:type="spellEnd"/>
      <w:r w:rsidRPr="00F833FD">
        <w:t>) и исторической доходностью акций или спредами по облигациям. Компании с более высокими ESG-рейтингами, как правило, имеют более низкую стоимость капитала [20].</w:t>
      </w:r>
    </w:p>
    <w:p w14:paraId="1BF2E8E8" w14:textId="77777777" w:rsidR="004C7B99" w:rsidRPr="00F833FD" w:rsidRDefault="00F032F4" w:rsidP="00F833FD">
      <w:pPr>
        <w:ind w:firstLine="426"/>
        <w:jc w:val="both"/>
      </w:pPr>
      <w:r w:rsidRPr="00F833FD">
        <w:rPr>
          <w:rStyle w:val="MdStrong"/>
        </w:rPr>
        <w:t>Моделирование на основе регрессии:</w:t>
      </w:r>
      <w:r w:rsidRPr="00F833FD">
        <w:t xml:space="preserve"> Построение регрессионных моделей, где зависимой переменной является стоимость капитала, а независимыми – традиционные финансовые факторы и ESG-показатели. Это позволяет количественно оценить вклад ESG в формирование стоимости капитала.</w:t>
      </w:r>
    </w:p>
    <w:p w14:paraId="50DDCD65" w14:textId="77777777" w:rsidR="004C7B99" w:rsidRPr="00F833FD" w:rsidRDefault="00F032F4" w:rsidP="00F833FD">
      <w:pPr>
        <w:ind w:firstLine="426"/>
        <w:jc w:val="both"/>
      </w:pPr>
      <w:r w:rsidRPr="00F833FD">
        <w:rPr>
          <w:rStyle w:val="MdStrong"/>
        </w:rPr>
        <w:t>Экспертные оценки:</w:t>
      </w:r>
      <w:r w:rsidRPr="00F833FD">
        <w:t xml:space="preserve"> </w:t>
      </w:r>
      <w:proofErr w:type="gramStart"/>
      <w:r w:rsidRPr="00F833FD">
        <w:t>В</w:t>
      </w:r>
      <w:proofErr w:type="gramEnd"/>
      <w:r w:rsidRPr="00F833FD">
        <w:t xml:space="preserve"> случаях отсутствия достаточных данных или для специфических отраслей, </w:t>
      </w:r>
      <w:r w:rsidR="007F58A3" w:rsidRPr="00F833FD">
        <w:rPr>
          <w:rStyle w:val="katex-mathml"/>
          <w:i/>
          <w:iCs/>
        </w:rPr>
        <w:t>π</w:t>
      </w:r>
      <w:r w:rsidR="007F58A3" w:rsidRPr="00F833FD">
        <w:rPr>
          <w:rStyle w:val="katex-mathml"/>
          <w:i/>
          <w:iCs/>
          <w:vertAlign w:val="subscript"/>
        </w:rPr>
        <w:t>ESG</w:t>
      </w:r>
      <w:r w:rsidR="007F58A3" w:rsidRPr="00F833FD">
        <w:t xml:space="preserve"> </w:t>
      </w:r>
      <w:r w:rsidRPr="00F833FD">
        <w:t>может быть определена на основе экспертных оценок и бенчмаркинга.</w:t>
      </w:r>
    </w:p>
    <w:p w14:paraId="4C4F9E4B" w14:textId="77777777" w:rsidR="004C7B99" w:rsidRPr="00F833FD" w:rsidRDefault="00F032F4" w:rsidP="00F833FD">
      <w:pPr>
        <w:ind w:firstLine="426"/>
        <w:jc w:val="both"/>
      </w:pPr>
      <w:r w:rsidRPr="00F833FD">
        <w:t>Исследования 2024–2025 годов показывают, что компании с высоким ESG-рейтингом в авиационной отрасли имеют стоимость заимствований на 15–25 базисных пунктов ниже, чем их конкуренты с низкими рейтингами, что напрямую транслируется в конкурентное преимущество [21].</w:t>
      </w:r>
    </w:p>
    <w:p w14:paraId="1D1E073E" w14:textId="77777777" w:rsidR="004C7B99" w:rsidRPr="00F833FD" w:rsidRDefault="00F032F4" w:rsidP="00F833FD">
      <w:pPr>
        <w:ind w:firstLine="426"/>
        <w:jc w:val="both"/>
      </w:pPr>
      <w:r w:rsidRPr="00F833FD">
        <w:t>3.2. ESG-корректировка свободного денежного потока (FCF)</w:t>
      </w:r>
    </w:p>
    <w:p w14:paraId="24088495" w14:textId="77777777" w:rsidR="004C7B99" w:rsidRPr="00F833FD" w:rsidRDefault="00F032F4" w:rsidP="00F833FD">
      <w:pPr>
        <w:ind w:firstLine="426"/>
        <w:jc w:val="both"/>
      </w:pPr>
      <w:r w:rsidRPr="00F833FD">
        <w:t xml:space="preserve">Свободный денежный поток (FCF – </w:t>
      </w:r>
      <w:proofErr w:type="spellStart"/>
      <w:r w:rsidRPr="00F833FD">
        <w:t>Free</w:t>
      </w:r>
      <w:proofErr w:type="spellEnd"/>
      <w:r w:rsidRPr="00F833FD">
        <w:t xml:space="preserve"> </w:t>
      </w:r>
      <w:proofErr w:type="spellStart"/>
      <w:r w:rsidRPr="00F833FD">
        <w:t>Cash</w:t>
      </w:r>
      <w:proofErr w:type="spellEnd"/>
      <w:r w:rsidRPr="00F833FD">
        <w:t xml:space="preserve"> </w:t>
      </w:r>
      <w:proofErr w:type="spellStart"/>
      <w:r w:rsidRPr="00F833FD">
        <w:t>Flow</w:t>
      </w:r>
      <w:proofErr w:type="spellEnd"/>
      <w:r w:rsidRPr="00F833FD">
        <w:t>) является еще одним ключевым показателем для оценки стоимости компании методом дисконтированных денежных потоков (DCF). ESG-факторы могут существенно влиять на компоненты FCF – операционный денежный поток и капитальные затраты.</w:t>
      </w:r>
    </w:p>
    <w:p w14:paraId="3A72B653" w14:textId="1FC0782B" w:rsidR="007F58A3" w:rsidRPr="00F833FD" w:rsidRDefault="00F032F4" w:rsidP="00F833FD">
      <w:pPr>
        <w:ind w:firstLine="426"/>
        <w:jc w:val="both"/>
        <w:rPr>
          <w:rStyle w:val="MdStrong"/>
        </w:rPr>
      </w:pPr>
      <w:r w:rsidRPr="00F833FD">
        <w:rPr>
          <w:rStyle w:val="MdStrong"/>
        </w:rPr>
        <w:t>Традиционная формула FCF:</w:t>
      </w:r>
    </w:p>
    <w:p w14:paraId="5DC96CC9" w14:textId="35CEC50A" w:rsidR="007F58A3" w:rsidRPr="00F833FD" w:rsidRDefault="00320A42" w:rsidP="00F833FD">
      <w:pPr>
        <w:ind w:firstLine="426"/>
        <w:jc w:val="both"/>
        <w:rPr>
          <w:rStyle w:val="MdStrong"/>
        </w:rPr>
      </w:pPr>
      <w:r w:rsidRPr="00F833FD">
        <w:rPr>
          <w:rStyle w:val="MdStrong"/>
          <w:noProof/>
          <w:lang w:val="en-US"/>
        </w:rPr>
        <w:drawing>
          <wp:anchor distT="0" distB="0" distL="114300" distR="114300" simplePos="0" relativeHeight="251663360" behindDoc="0" locked="0" layoutInCell="1" allowOverlap="1" wp14:anchorId="51053364" wp14:editId="4FCB5A33">
            <wp:simplePos x="0" y="0"/>
            <wp:positionH relativeFrom="page">
              <wp:posOffset>2000250</wp:posOffset>
            </wp:positionH>
            <wp:positionV relativeFrom="paragraph">
              <wp:posOffset>53975</wp:posOffset>
            </wp:positionV>
            <wp:extent cx="4063999" cy="334838"/>
            <wp:effectExtent l="0" t="0" r="0" b="825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17609"/>
                    <a:stretch/>
                  </pic:blipFill>
                  <pic:spPr bwMode="auto">
                    <a:xfrm>
                      <a:off x="0" y="0"/>
                      <a:ext cx="4063999" cy="33483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5F44AC" w14:textId="77777777" w:rsidR="007F58A3" w:rsidRPr="00F833FD" w:rsidRDefault="007F58A3" w:rsidP="00F833FD">
      <w:pPr>
        <w:ind w:firstLine="426"/>
        <w:jc w:val="both"/>
        <w:rPr>
          <w:rStyle w:val="MdStrong"/>
        </w:rPr>
      </w:pPr>
    </w:p>
    <w:p w14:paraId="48DA324E" w14:textId="77777777" w:rsidR="004C7B99" w:rsidRPr="00F833FD" w:rsidRDefault="00F032F4" w:rsidP="00F833FD">
      <w:pPr>
        <w:ind w:firstLine="426"/>
        <w:jc w:val="both"/>
      </w:pPr>
      <w:r w:rsidRPr="00F833FD">
        <w:t>где:</w:t>
      </w:r>
    </w:p>
    <w:p w14:paraId="75C8C089" w14:textId="77777777" w:rsidR="004C7B99" w:rsidRPr="00F833FD" w:rsidRDefault="00F032F4" w:rsidP="00F833FD">
      <w:pPr>
        <w:ind w:firstLine="426"/>
        <w:jc w:val="both"/>
      </w:pPr>
      <w:r w:rsidRPr="00F833FD">
        <w:t>EBIT – прибыль до вычета процентов и налогов;</w:t>
      </w:r>
    </w:p>
    <w:p w14:paraId="318F3EAF" w14:textId="77777777" w:rsidR="004C7B99" w:rsidRPr="00F833FD" w:rsidRDefault="00F032F4" w:rsidP="00F833FD">
      <w:pPr>
        <w:ind w:firstLine="426"/>
        <w:jc w:val="both"/>
      </w:pPr>
      <w:r w:rsidRPr="00F833FD">
        <w:t>T – ставка налога на прибыль;</w:t>
      </w:r>
    </w:p>
    <w:p w14:paraId="5F647D3D" w14:textId="77777777" w:rsidR="004C7B99" w:rsidRPr="00F833FD" w:rsidRDefault="00F032F4" w:rsidP="00F833FD">
      <w:pPr>
        <w:ind w:firstLine="426"/>
        <w:jc w:val="both"/>
      </w:pPr>
      <w:proofErr w:type="spellStart"/>
      <w:r w:rsidRPr="00F833FD">
        <w:t>Depreciation</w:t>
      </w:r>
      <w:proofErr w:type="spellEnd"/>
      <w:r w:rsidRPr="00F833FD">
        <w:t xml:space="preserve"> – амортизация;</w:t>
      </w:r>
    </w:p>
    <w:p w14:paraId="2D2579CF" w14:textId="77777777" w:rsidR="004C7B99" w:rsidRPr="00F833FD" w:rsidRDefault="00F032F4" w:rsidP="00F833FD">
      <w:pPr>
        <w:ind w:firstLine="426"/>
        <w:jc w:val="both"/>
      </w:pPr>
      <w:proofErr w:type="spellStart"/>
      <w:r w:rsidRPr="00F833FD">
        <w:t>CapEx</w:t>
      </w:r>
      <w:proofErr w:type="spellEnd"/>
      <w:r w:rsidRPr="00F833FD">
        <w:t xml:space="preserve"> – капитальные затраты;</w:t>
      </w:r>
    </w:p>
    <w:p w14:paraId="11BEBC37" w14:textId="77777777" w:rsidR="004C7B99" w:rsidRPr="00F833FD" w:rsidRDefault="00F032F4" w:rsidP="00F833FD">
      <w:pPr>
        <w:ind w:firstLine="426"/>
        <w:jc w:val="both"/>
      </w:pPr>
      <w:r w:rsidRPr="00F833FD">
        <w:t>Delta NWC – изменение чистого оборотного капитала.</w:t>
      </w:r>
    </w:p>
    <w:p w14:paraId="68018F50" w14:textId="0784DF3D" w:rsidR="004C7B99" w:rsidRPr="00F833FD" w:rsidRDefault="00F032F4" w:rsidP="00F833FD">
      <w:pPr>
        <w:ind w:firstLine="426"/>
        <w:jc w:val="both"/>
      </w:pPr>
      <w:r w:rsidRPr="00F833FD">
        <w:rPr>
          <w:rStyle w:val="MdStrong"/>
        </w:rPr>
        <w:t>ESG-корректировка FCF:</w:t>
      </w:r>
    </w:p>
    <w:p w14:paraId="28827E04" w14:textId="21F06AFE" w:rsidR="004C7B99" w:rsidRPr="00F833FD" w:rsidRDefault="00F032F4" w:rsidP="00F833FD">
      <w:pPr>
        <w:ind w:firstLine="426"/>
        <w:jc w:val="both"/>
      </w:pPr>
      <w:r w:rsidRPr="00F833FD">
        <w:t>При прогнозировании FCF аналитики теперь применяют «сценарные фильтры» и корректировки, учитывающие влияние ESG-факторов на будущие доходы и расходы [21].</w:t>
      </w:r>
    </w:p>
    <w:p w14:paraId="31292C1B" w14:textId="77777777" w:rsidR="004C7B99" w:rsidRPr="00F833FD" w:rsidRDefault="00F032F4" w:rsidP="00F833FD">
      <w:pPr>
        <w:ind w:firstLine="426"/>
        <w:jc w:val="both"/>
      </w:pPr>
      <w:r w:rsidRPr="00F833FD">
        <w:rPr>
          <w:rStyle w:val="MdStrong"/>
        </w:rPr>
        <w:t>Корректировка доходов:</w:t>
      </w:r>
    </w:p>
    <w:p w14:paraId="138DDAAF" w14:textId="77777777" w:rsidR="004C7B99" w:rsidRPr="00F833FD" w:rsidRDefault="00F032F4" w:rsidP="00F833FD">
      <w:pPr>
        <w:pStyle w:val="a4"/>
        <w:numPr>
          <w:ilvl w:val="0"/>
          <w:numId w:val="7"/>
        </w:numPr>
        <w:ind w:left="0" w:firstLine="426"/>
        <w:jc w:val="both"/>
      </w:pPr>
      <w:r w:rsidRPr="00F833FD">
        <w:rPr>
          <w:rStyle w:val="MdStrong"/>
        </w:rPr>
        <w:t>Премии за «зеленые» продукты/услуги:</w:t>
      </w:r>
      <w:r w:rsidRPr="00F833FD">
        <w:t xml:space="preserve"> Компании, предлагающие экологически чистые продукты (например, авиакомпании, использующие SAF), могут получать ценовую премию или увеличивать долю рынка, что приводит к росту выручки.</w:t>
      </w:r>
    </w:p>
    <w:p w14:paraId="440B1B01" w14:textId="77777777" w:rsidR="004C7B99" w:rsidRPr="00F833FD" w:rsidRDefault="00F032F4" w:rsidP="00F833FD">
      <w:pPr>
        <w:pStyle w:val="a4"/>
        <w:numPr>
          <w:ilvl w:val="0"/>
          <w:numId w:val="7"/>
        </w:numPr>
        <w:ind w:left="0" w:firstLine="426"/>
        <w:jc w:val="both"/>
      </w:pPr>
      <w:r w:rsidRPr="00F833FD">
        <w:rPr>
          <w:rStyle w:val="MdStrong"/>
        </w:rPr>
        <w:t>Штрафы и санкции:</w:t>
      </w:r>
      <w:r w:rsidRPr="00F833FD">
        <w:t xml:space="preserve"> Нарушения экологических или социальных норм могут привести к значительным штрафам, которые уменьшают будущие доходы.</w:t>
      </w:r>
    </w:p>
    <w:p w14:paraId="7917CE60" w14:textId="77777777" w:rsidR="004C7B99" w:rsidRPr="00F833FD" w:rsidRDefault="00F032F4" w:rsidP="00F833FD">
      <w:pPr>
        <w:pStyle w:val="a4"/>
        <w:numPr>
          <w:ilvl w:val="0"/>
          <w:numId w:val="7"/>
        </w:numPr>
        <w:ind w:left="0" w:firstLine="426"/>
        <w:jc w:val="both"/>
      </w:pPr>
      <w:r w:rsidRPr="00F833FD">
        <w:rPr>
          <w:rStyle w:val="MdStrong"/>
        </w:rPr>
        <w:t>Корректировка операционных расходов:</w:t>
      </w:r>
    </w:p>
    <w:p w14:paraId="215530FD" w14:textId="77777777" w:rsidR="004C7B99" w:rsidRPr="00F833FD" w:rsidRDefault="00F032F4" w:rsidP="00F833FD">
      <w:pPr>
        <w:pStyle w:val="a4"/>
        <w:numPr>
          <w:ilvl w:val="0"/>
          <w:numId w:val="7"/>
        </w:numPr>
        <w:ind w:left="0" w:firstLine="426"/>
        <w:jc w:val="both"/>
      </w:pPr>
      <w:r w:rsidRPr="00F833FD">
        <w:rPr>
          <w:rStyle w:val="MdStrong"/>
        </w:rPr>
        <w:t>Углеродные налоги и квоты:</w:t>
      </w:r>
      <w:r w:rsidRPr="00F833FD">
        <w:t xml:space="preserve"> Как уже упоминалось, эти издержки напрямую увеличивают операционные расходы.</w:t>
      </w:r>
    </w:p>
    <w:p w14:paraId="5C4513FA" w14:textId="77777777" w:rsidR="004C7B99" w:rsidRPr="00F833FD" w:rsidRDefault="00F032F4" w:rsidP="00F833FD">
      <w:pPr>
        <w:pStyle w:val="a4"/>
        <w:numPr>
          <w:ilvl w:val="0"/>
          <w:numId w:val="7"/>
        </w:numPr>
        <w:ind w:left="0" w:firstLine="426"/>
        <w:jc w:val="both"/>
      </w:pPr>
      <w:r w:rsidRPr="00F833FD">
        <w:rPr>
          <w:rStyle w:val="MdStrong"/>
        </w:rPr>
        <w:t>Инвестиции в энергоэффективность:</w:t>
      </w:r>
      <w:r w:rsidRPr="00F833FD">
        <w:t xml:space="preserve"> Могут снизить будущие операционные расходы, но требуют первоначальных капитальных затрат.</w:t>
      </w:r>
    </w:p>
    <w:p w14:paraId="611C5541" w14:textId="77777777" w:rsidR="004C7B99" w:rsidRPr="00F833FD" w:rsidRDefault="00F032F4" w:rsidP="00F833FD">
      <w:pPr>
        <w:pStyle w:val="a4"/>
        <w:numPr>
          <w:ilvl w:val="0"/>
          <w:numId w:val="7"/>
        </w:numPr>
        <w:ind w:left="0" w:firstLine="426"/>
        <w:jc w:val="both"/>
      </w:pPr>
      <w:r w:rsidRPr="00F833FD">
        <w:rPr>
          <w:rStyle w:val="MdStrong"/>
        </w:rPr>
        <w:t>Расходы на социальные программы:</w:t>
      </w:r>
      <w:r w:rsidRPr="00F833FD">
        <w:t xml:space="preserve"> Инвестиции в персонал, обучение, безопасность могут увеличить краткосрочные расходы, но снизить текучесть кадров и повысить производительность в долгосрочной перспективе.</w:t>
      </w:r>
    </w:p>
    <w:p w14:paraId="16FF8CFC" w14:textId="77777777" w:rsidR="004C7B99" w:rsidRPr="00F833FD" w:rsidRDefault="00F032F4" w:rsidP="00F833FD">
      <w:pPr>
        <w:pStyle w:val="a4"/>
        <w:numPr>
          <w:ilvl w:val="0"/>
          <w:numId w:val="7"/>
        </w:numPr>
        <w:ind w:left="0" w:firstLine="426"/>
        <w:jc w:val="both"/>
      </w:pPr>
      <w:r w:rsidRPr="00F833FD">
        <w:rPr>
          <w:rStyle w:val="MdStrong"/>
        </w:rPr>
        <w:t>Корректировка капитальных затрат (</w:t>
      </w:r>
      <w:proofErr w:type="spellStart"/>
      <w:r w:rsidRPr="00F833FD">
        <w:rPr>
          <w:rStyle w:val="MdStrong"/>
        </w:rPr>
        <w:t>CapEx</w:t>
      </w:r>
      <w:proofErr w:type="spellEnd"/>
      <w:r w:rsidRPr="00F833FD">
        <w:rPr>
          <w:rStyle w:val="MdStrong"/>
        </w:rPr>
        <w:t>):</w:t>
      </w:r>
    </w:p>
    <w:p w14:paraId="64D06860" w14:textId="77777777" w:rsidR="004C7B99" w:rsidRPr="00F833FD" w:rsidRDefault="00F032F4" w:rsidP="00F833FD">
      <w:pPr>
        <w:pStyle w:val="a4"/>
        <w:numPr>
          <w:ilvl w:val="0"/>
          <w:numId w:val="7"/>
        </w:numPr>
        <w:ind w:left="0" w:firstLine="426"/>
        <w:jc w:val="both"/>
      </w:pPr>
      <w:r w:rsidRPr="00F833FD">
        <w:rPr>
          <w:rStyle w:val="MdStrong"/>
        </w:rPr>
        <w:t>Инвестиции в декарбонизацию:</w:t>
      </w:r>
      <w:r w:rsidRPr="00F833FD">
        <w:t xml:space="preserve"> Приобретение новых, более экономичных самолетов, установка систем очистки, инвестиции в SAF-инфраструктуру – все это увеличивает </w:t>
      </w:r>
      <w:proofErr w:type="spellStart"/>
      <w:r w:rsidRPr="00F833FD">
        <w:t>CapEx</w:t>
      </w:r>
      <w:proofErr w:type="spellEnd"/>
      <w:r w:rsidRPr="00F833FD">
        <w:t>. Эти инвестиции могут быть разделены на «поддерживающие» (для соответствия регулированию) и «стратегические» (для получения конкурентных преимуществ).</w:t>
      </w:r>
    </w:p>
    <w:p w14:paraId="2A4119FF" w14:textId="77777777" w:rsidR="004C7B99" w:rsidRPr="00F833FD" w:rsidRDefault="00F032F4" w:rsidP="00F833FD">
      <w:pPr>
        <w:pStyle w:val="a4"/>
        <w:numPr>
          <w:ilvl w:val="0"/>
          <w:numId w:val="7"/>
        </w:numPr>
        <w:ind w:left="0" w:firstLine="426"/>
        <w:jc w:val="both"/>
      </w:pPr>
      <w:r w:rsidRPr="00F833FD">
        <w:rPr>
          <w:rStyle w:val="MdStrong"/>
        </w:rPr>
        <w:t>Сценарии</w:t>
      </w:r>
      <w:r w:rsidRPr="00F833FD">
        <w:rPr>
          <w:rStyle w:val="MdStrong"/>
          <w:lang w:val="en-US"/>
        </w:rPr>
        <w:t xml:space="preserve"> «Business as Usual» vs. </w:t>
      </w:r>
      <w:r w:rsidRPr="00F833FD">
        <w:rPr>
          <w:rStyle w:val="MdStrong"/>
        </w:rPr>
        <w:t>«</w:t>
      </w:r>
      <w:proofErr w:type="spellStart"/>
      <w:r w:rsidRPr="00F833FD">
        <w:rPr>
          <w:rStyle w:val="MdStrong"/>
        </w:rPr>
        <w:t>Green</w:t>
      </w:r>
      <w:proofErr w:type="spellEnd"/>
      <w:r w:rsidRPr="00F833FD">
        <w:rPr>
          <w:rStyle w:val="MdStrong"/>
        </w:rPr>
        <w:t xml:space="preserve"> </w:t>
      </w:r>
      <w:proofErr w:type="spellStart"/>
      <w:r w:rsidRPr="00F833FD">
        <w:rPr>
          <w:rStyle w:val="MdStrong"/>
        </w:rPr>
        <w:t>Transition</w:t>
      </w:r>
      <w:proofErr w:type="spellEnd"/>
      <w:r w:rsidRPr="00F833FD">
        <w:rPr>
          <w:rStyle w:val="MdStrong"/>
        </w:rPr>
        <w:t>»:</w:t>
      </w:r>
      <w:r w:rsidRPr="00F833FD">
        <w:t xml:space="preserve"> Аналитики строят несколько сценариев FCF. Например, сценарий «</w:t>
      </w:r>
      <w:proofErr w:type="spellStart"/>
      <w:r w:rsidRPr="00F833FD">
        <w:t>Business</w:t>
      </w:r>
      <w:proofErr w:type="spellEnd"/>
      <w:r w:rsidRPr="00F833FD">
        <w:t xml:space="preserve"> </w:t>
      </w:r>
      <w:proofErr w:type="spellStart"/>
      <w:r w:rsidRPr="00F833FD">
        <w:t>as</w:t>
      </w:r>
      <w:proofErr w:type="spellEnd"/>
      <w:r w:rsidRPr="00F833FD">
        <w:t xml:space="preserve"> </w:t>
      </w:r>
      <w:proofErr w:type="spellStart"/>
      <w:r w:rsidRPr="00F833FD">
        <w:t>Usual</w:t>
      </w:r>
      <w:proofErr w:type="spellEnd"/>
      <w:r w:rsidRPr="00F833FD">
        <w:t xml:space="preserve">» может не учитывать будущие </w:t>
      </w:r>
      <w:r w:rsidRPr="00F833FD">
        <w:lastRenderedPageBreak/>
        <w:t>экологические налоги, тогда как сценарий «</w:t>
      </w:r>
      <w:proofErr w:type="spellStart"/>
      <w:r w:rsidRPr="00F833FD">
        <w:t>Green</w:t>
      </w:r>
      <w:proofErr w:type="spellEnd"/>
      <w:r w:rsidRPr="00F833FD">
        <w:t xml:space="preserve"> </w:t>
      </w:r>
      <w:proofErr w:type="spellStart"/>
      <w:r w:rsidRPr="00F833FD">
        <w:t>Transition</w:t>
      </w:r>
      <w:proofErr w:type="spellEnd"/>
      <w:r w:rsidRPr="00F833FD">
        <w:t>» будет включать затраты на SAF и модернизацию флота. Интерпретация разницы между этими сценариями позволяет оценить «устойчивую стоимость» компании (</w:t>
      </w:r>
      <w:proofErr w:type="spellStart"/>
      <w:r w:rsidRPr="00F833FD">
        <w:t>Sustainable</w:t>
      </w:r>
      <w:proofErr w:type="spellEnd"/>
      <w:r w:rsidRPr="00F833FD">
        <w:t xml:space="preserve"> </w:t>
      </w:r>
      <w:proofErr w:type="spellStart"/>
      <w:r w:rsidRPr="00F833FD">
        <w:t>Value</w:t>
      </w:r>
      <w:proofErr w:type="spellEnd"/>
      <w:r w:rsidRPr="00F833FD">
        <w:t>) и ее способность адаптироваться к меняющимся условиям [22].</w:t>
      </w:r>
    </w:p>
    <w:p w14:paraId="7102D481" w14:textId="77777777" w:rsidR="004C7B99" w:rsidRPr="00F833FD" w:rsidRDefault="00F032F4" w:rsidP="00F833FD">
      <w:pPr>
        <w:ind w:firstLine="426"/>
        <w:jc w:val="both"/>
      </w:pPr>
      <w:r w:rsidRPr="00F833FD">
        <w:t>3.3. Экономическая добавленная стоимость (EVA) и ESG-факторы</w:t>
      </w:r>
    </w:p>
    <w:p w14:paraId="149F44C3" w14:textId="77777777" w:rsidR="004C7B99" w:rsidRPr="00F833FD" w:rsidRDefault="00F032F4" w:rsidP="00F833FD">
      <w:pPr>
        <w:ind w:firstLine="426"/>
        <w:jc w:val="both"/>
      </w:pPr>
      <w:r w:rsidRPr="00F833FD">
        <w:t xml:space="preserve">Экономическая добавленная стоимость (EVA – </w:t>
      </w:r>
      <w:proofErr w:type="spellStart"/>
      <w:r w:rsidRPr="00F833FD">
        <w:t>Economic</w:t>
      </w:r>
      <w:proofErr w:type="spellEnd"/>
      <w:r w:rsidRPr="00F833FD">
        <w:t xml:space="preserve"> </w:t>
      </w:r>
      <w:proofErr w:type="spellStart"/>
      <w:r w:rsidRPr="00F833FD">
        <w:t>Value</w:t>
      </w:r>
      <w:proofErr w:type="spellEnd"/>
      <w:r w:rsidRPr="00F833FD">
        <w:t xml:space="preserve"> </w:t>
      </w:r>
      <w:proofErr w:type="spellStart"/>
      <w:r w:rsidRPr="00F833FD">
        <w:t>Added</w:t>
      </w:r>
      <w:proofErr w:type="spellEnd"/>
      <w:r w:rsidRPr="00F833FD">
        <w:t>) – это показатель, который измеряет истинную экономическую прибыль компании, вычитая из операционной прибыли не только налоги, но и стоимость всего используемого капитала. EVA является мощным инструментом для оценки эффективности управления и создания стоимости для акционеров [23].</w:t>
      </w:r>
    </w:p>
    <w:p w14:paraId="37D7EFDA" w14:textId="4E416FFC" w:rsidR="007F58A3" w:rsidRPr="00F833FD" w:rsidRDefault="00320A42" w:rsidP="00F833FD">
      <w:pPr>
        <w:ind w:firstLine="426"/>
        <w:jc w:val="both"/>
        <w:rPr>
          <w:rStyle w:val="MdStrong"/>
        </w:rPr>
      </w:pPr>
      <w:r w:rsidRPr="00F833FD">
        <w:rPr>
          <w:rStyle w:val="MdStrong"/>
          <w:noProof/>
          <w:lang w:val="en-US"/>
        </w:rPr>
        <w:drawing>
          <wp:anchor distT="0" distB="0" distL="114300" distR="114300" simplePos="0" relativeHeight="251665408" behindDoc="0" locked="0" layoutInCell="1" allowOverlap="1" wp14:anchorId="0A77B760" wp14:editId="3F7200B8">
            <wp:simplePos x="0" y="0"/>
            <wp:positionH relativeFrom="margin">
              <wp:align>center</wp:align>
            </wp:positionH>
            <wp:positionV relativeFrom="paragraph">
              <wp:posOffset>240665</wp:posOffset>
            </wp:positionV>
            <wp:extent cx="2749691" cy="342918"/>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749691" cy="342918"/>
                    </a:xfrm>
                    <a:prstGeom prst="rect">
                      <a:avLst/>
                    </a:prstGeom>
                  </pic:spPr>
                </pic:pic>
              </a:graphicData>
            </a:graphic>
            <wp14:sizeRelH relativeFrom="page">
              <wp14:pctWidth>0</wp14:pctWidth>
            </wp14:sizeRelH>
            <wp14:sizeRelV relativeFrom="page">
              <wp14:pctHeight>0</wp14:pctHeight>
            </wp14:sizeRelV>
          </wp:anchor>
        </w:drawing>
      </w:r>
      <w:r w:rsidR="00F032F4" w:rsidRPr="00F833FD">
        <w:rPr>
          <w:rStyle w:val="MdStrong"/>
        </w:rPr>
        <w:t>Традиционная формула EVA:</w:t>
      </w:r>
    </w:p>
    <w:p w14:paraId="721959FB" w14:textId="470963AB" w:rsidR="007F58A3" w:rsidRPr="00F833FD" w:rsidRDefault="007F58A3" w:rsidP="00F833FD">
      <w:pPr>
        <w:ind w:firstLine="426"/>
        <w:jc w:val="both"/>
        <w:rPr>
          <w:rStyle w:val="MdStrong"/>
        </w:rPr>
      </w:pPr>
    </w:p>
    <w:p w14:paraId="519DDF94" w14:textId="77777777" w:rsidR="007F58A3" w:rsidRPr="00F833FD" w:rsidRDefault="007F58A3" w:rsidP="00F833FD">
      <w:pPr>
        <w:ind w:firstLine="426"/>
        <w:jc w:val="both"/>
        <w:rPr>
          <w:rStyle w:val="MdStrong"/>
        </w:rPr>
      </w:pPr>
    </w:p>
    <w:p w14:paraId="30971219" w14:textId="77777777" w:rsidR="004C7B99" w:rsidRPr="00F833FD" w:rsidRDefault="00F032F4" w:rsidP="00F833FD">
      <w:pPr>
        <w:ind w:firstLine="426"/>
        <w:jc w:val="both"/>
      </w:pPr>
      <w:r w:rsidRPr="00F833FD">
        <w:t>где:</w:t>
      </w:r>
    </w:p>
    <w:p w14:paraId="2E9E210D" w14:textId="77777777" w:rsidR="004C7B99" w:rsidRPr="00F833FD" w:rsidRDefault="00F032F4" w:rsidP="00F833FD">
      <w:pPr>
        <w:ind w:firstLine="426"/>
        <w:jc w:val="both"/>
      </w:pPr>
      <w:r w:rsidRPr="00F833FD">
        <w:t>NOPAT – чистая операционная прибыль после налогов;</w:t>
      </w:r>
    </w:p>
    <w:p w14:paraId="0366ACA5" w14:textId="77777777" w:rsidR="004C7B99" w:rsidRPr="00F833FD" w:rsidRDefault="00F032F4" w:rsidP="00F833FD">
      <w:pPr>
        <w:ind w:firstLine="426"/>
        <w:jc w:val="both"/>
      </w:pPr>
      <w:r w:rsidRPr="00F833FD">
        <w:t>WACC – средневзвешенная стоимость капитала;</w:t>
      </w:r>
    </w:p>
    <w:p w14:paraId="14F9DCE8" w14:textId="77777777" w:rsidR="004C7B99" w:rsidRPr="00F833FD" w:rsidRDefault="00F032F4" w:rsidP="00F833FD">
      <w:pPr>
        <w:ind w:firstLine="426"/>
        <w:jc w:val="both"/>
      </w:pPr>
      <w:r w:rsidRPr="00F833FD">
        <w:t>Capital – инвестированный капитал.</w:t>
      </w:r>
    </w:p>
    <w:p w14:paraId="509C7524" w14:textId="77777777" w:rsidR="004C7B99" w:rsidRPr="00F833FD" w:rsidRDefault="004C7B99" w:rsidP="00F833FD">
      <w:pPr>
        <w:ind w:firstLine="426"/>
        <w:jc w:val="both"/>
      </w:pPr>
    </w:p>
    <w:p w14:paraId="1D46BD26" w14:textId="77777777" w:rsidR="004C7B99" w:rsidRPr="00F833FD" w:rsidRDefault="00F032F4" w:rsidP="00F833FD">
      <w:pPr>
        <w:ind w:firstLine="426"/>
        <w:jc w:val="both"/>
      </w:pPr>
      <w:r w:rsidRPr="00F833FD">
        <w:rPr>
          <w:rStyle w:val="MdStrong"/>
        </w:rPr>
        <w:t>ESG-корректировка EVA:</w:t>
      </w:r>
    </w:p>
    <w:p w14:paraId="65396D6E" w14:textId="77777777" w:rsidR="004C7B99" w:rsidRPr="00F833FD" w:rsidRDefault="00F032F4" w:rsidP="00F833FD">
      <w:pPr>
        <w:ind w:firstLine="426"/>
        <w:jc w:val="both"/>
      </w:pPr>
      <w:r w:rsidRPr="00F833FD">
        <w:t>Интеграция ESG в EVA происходит через два основных канала:</w:t>
      </w:r>
    </w:p>
    <w:p w14:paraId="6727FBB0" w14:textId="77777777" w:rsidR="004C7B99" w:rsidRPr="00F833FD" w:rsidRDefault="00F032F4" w:rsidP="00F833FD">
      <w:pPr>
        <w:ind w:firstLine="426"/>
        <w:jc w:val="both"/>
      </w:pPr>
      <w:r w:rsidRPr="00F833FD">
        <w:rPr>
          <w:rStyle w:val="MdStrong"/>
        </w:rPr>
        <w:t>Корректировка NOPAT:</w:t>
      </w:r>
      <w:r w:rsidRPr="00F833FD">
        <w:t xml:space="preserve"> ESG-факторы могут влиять на операционную прибыль через изменение выручки (например, за счет «зеленых» продуктов), операционных расходов (штрафы, налоги, инвестиции в энергоэффективность) и налогов (налоговые льготы за устойчивые проекты).</w:t>
      </w:r>
    </w:p>
    <w:p w14:paraId="03EF69E8" w14:textId="77777777" w:rsidR="004C7B99" w:rsidRPr="00F833FD" w:rsidRDefault="00F032F4" w:rsidP="00F833FD">
      <w:pPr>
        <w:ind w:firstLine="426"/>
        <w:jc w:val="both"/>
      </w:pPr>
      <w:r w:rsidRPr="00F833FD">
        <w:rPr>
          <w:rStyle w:val="MdStrong"/>
        </w:rPr>
        <w:t>Корректировка WACC:</w:t>
      </w:r>
      <w:r w:rsidRPr="00F833FD">
        <w:t xml:space="preserve"> Как было показано выше, ESG-профиль компании напрямую влияет на ее стоимость капитала. Более низкий ESG-WACC для устойчивых компаний приводит к более высокой EVA, что отражает их способность создавать большую экономическую ценность для акционеров.</w:t>
      </w:r>
    </w:p>
    <w:p w14:paraId="32C1F07B" w14:textId="77777777" w:rsidR="004C7B99" w:rsidRPr="00F833FD" w:rsidRDefault="00F032F4" w:rsidP="00F833FD">
      <w:pPr>
        <w:ind w:firstLine="426"/>
        <w:jc w:val="both"/>
      </w:pPr>
      <w:r w:rsidRPr="00F833FD">
        <w:t>Кроме того, в концепции EVA может быть учтен «нефинансовый капитал», такой как человеческий капитал или природный капитал, хотя это является более сложной задачей и требует разработки специфических методик оценки [24].</w:t>
      </w:r>
    </w:p>
    <w:p w14:paraId="31BD88B3" w14:textId="1F454A19" w:rsidR="004C7B99" w:rsidRPr="00F833FD" w:rsidRDefault="00F032F4" w:rsidP="00F833FD">
      <w:pPr>
        <w:ind w:firstLine="426"/>
        <w:jc w:val="both"/>
        <w:rPr>
          <w:b/>
          <w:bCs/>
        </w:rPr>
      </w:pPr>
      <w:r w:rsidRPr="00F833FD">
        <w:rPr>
          <w:b/>
          <w:bCs/>
        </w:rPr>
        <w:t>4. Новые коэффициенты (ESG-</w:t>
      </w:r>
      <w:proofErr w:type="spellStart"/>
      <w:r w:rsidRPr="00F833FD">
        <w:rPr>
          <w:b/>
          <w:bCs/>
        </w:rPr>
        <w:t>Ratios</w:t>
      </w:r>
      <w:proofErr w:type="spellEnd"/>
      <w:r w:rsidRPr="00F833FD">
        <w:rPr>
          <w:b/>
          <w:bCs/>
        </w:rPr>
        <w:t>) и интегрированная отчетность</w:t>
      </w:r>
    </w:p>
    <w:p w14:paraId="4F3204D5" w14:textId="77777777" w:rsidR="004C7B99" w:rsidRPr="00F833FD" w:rsidRDefault="00F032F4" w:rsidP="00F833FD">
      <w:pPr>
        <w:ind w:firstLine="426"/>
        <w:jc w:val="both"/>
      </w:pPr>
      <w:r w:rsidRPr="00F833FD">
        <w:t>В дополнение к модификации существующих моделей, финансовый анализ обогащается новыми гибридными метриками, которые напрямую связывают финансовые и нефинансовые показатели. Эти ESG-коэффициенты позволяют более полно интерпретировать устойчивость и эффективность компании [25].</w:t>
      </w:r>
    </w:p>
    <w:p w14:paraId="36545094" w14:textId="77777777" w:rsidR="004C7B99" w:rsidRPr="00F833FD" w:rsidRDefault="00F032F4" w:rsidP="00F833FD">
      <w:pPr>
        <w:ind w:firstLine="426"/>
        <w:jc w:val="both"/>
      </w:pPr>
      <w:proofErr w:type="spellStart"/>
      <w:r w:rsidRPr="00F833FD">
        <w:rPr>
          <w:rStyle w:val="MdStrong"/>
        </w:rPr>
        <w:t>Carbon</w:t>
      </w:r>
      <w:proofErr w:type="spellEnd"/>
      <w:r w:rsidRPr="00F833FD">
        <w:rPr>
          <w:rStyle w:val="MdStrong"/>
        </w:rPr>
        <w:t xml:space="preserve"> </w:t>
      </w:r>
      <w:proofErr w:type="spellStart"/>
      <w:r w:rsidRPr="00F833FD">
        <w:rPr>
          <w:rStyle w:val="MdStrong"/>
        </w:rPr>
        <w:t>Intensity</w:t>
      </w:r>
      <w:proofErr w:type="spellEnd"/>
      <w:r w:rsidRPr="00F833FD">
        <w:rPr>
          <w:rStyle w:val="MdStrong"/>
        </w:rPr>
        <w:t xml:space="preserve"> </w:t>
      </w:r>
      <w:proofErr w:type="spellStart"/>
      <w:r w:rsidRPr="00F833FD">
        <w:rPr>
          <w:rStyle w:val="MdStrong"/>
        </w:rPr>
        <w:t>of</w:t>
      </w:r>
      <w:proofErr w:type="spellEnd"/>
      <w:r w:rsidRPr="00F833FD">
        <w:rPr>
          <w:rStyle w:val="MdStrong"/>
        </w:rPr>
        <w:t xml:space="preserve"> </w:t>
      </w:r>
      <w:proofErr w:type="spellStart"/>
      <w:r w:rsidRPr="00F833FD">
        <w:rPr>
          <w:rStyle w:val="MdStrong"/>
        </w:rPr>
        <w:t>Revenue</w:t>
      </w:r>
      <w:proofErr w:type="spellEnd"/>
      <w:r w:rsidRPr="00F833FD">
        <w:rPr>
          <w:rStyle w:val="MdStrong"/>
        </w:rPr>
        <w:t xml:space="preserve"> (CIR):</w:t>
      </w:r>
      <w:r w:rsidRPr="00F833FD">
        <w:t xml:space="preserve"> Отношение общих выбросов CO2 (в тоннах) к выручке компании (в млн. долларов). Этот показатель позволяет сравнивать эффективность декарбонизации компаний разного масштаба и отражает, сколько углерода генерируется на единицу дохода. Для авиакомпаний это критически важный показатель, демонстрирующий их прогресс в снижении углеродного следа.</w:t>
      </w:r>
    </w:p>
    <w:p w14:paraId="5BA4088B" w14:textId="77777777" w:rsidR="004C7B99" w:rsidRPr="00F833FD" w:rsidRDefault="00F032F4" w:rsidP="00F833FD">
      <w:pPr>
        <w:ind w:firstLine="426"/>
        <w:jc w:val="both"/>
      </w:pPr>
      <w:r w:rsidRPr="00F833FD">
        <w:rPr>
          <w:rStyle w:val="MdStrong"/>
        </w:rPr>
        <w:t>ESG-</w:t>
      </w:r>
      <w:proofErr w:type="spellStart"/>
      <w:r w:rsidRPr="00F833FD">
        <w:rPr>
          <w:rStyle w:val="MdStrong"/>
        </w:rPr>
        <w:t>Return</w:t>
      </w:r>
      <w:proofErr w:type="spellEnd"/>
      <w:r w:rsidRPr="00F833FD">
        <w:rPr>
          <w:rStyle w:val="MdStrong"/>
        </w:rPr>
        <w:t xml:space="preserve"> </w:t>
      </w:r>
      <w:proofErr w:type="spellStart"/>
      <w:r w:rsidRPr="00F833FD">
        <w:rPr>
          <w:rStyle w:val="MdStrong"/>
        </w:rPr>
        <w:t>on</w:t>
      </w:r>
      <w:proofErr w:type="spellEnd"/>
      <w:r w:rsidRPr="00F833FD">
        <w:rPr>
          <w:rStyle w:val="MdStrong"/>
        </w:rPr>
        <w:t xml:space="preserve"> </w:t>
      </w:r>
      <w:proofErr w:type="spellStart"/>
      <w:r w:rsidRPr="00F833FD">
        <w:rPr>
          <w:rStyle w:val="MdStrong"/>
        </w:rPr>
        <w:t>Investment</w:t>
      </w:r>
      <w:proofErr w:type="spellEnd"/>
      <w:r w:rsidRPr="00F833FD">
        <w:rPr>
          <w:rStyle w:val="MdStrong"/>
        </w:rPr>
        <w:t xml:space="preserve"> (ESG-ROI):</w:t>
      </w:r>
      <w:r w:rsidRPr="00F833FD">
        <w:t xml:space="preserve"> Оценка финансовой отдачи от инвестиций в устойчивые проекты. Например, ROI от инвестиций в SAF или в программы обучения персонала. Расчет ESG-ROI позволяет менеджерам обосновывать инвестиции в устойчивое развитие с точки зрения их финансовой целесообразности.</w:t>
      </w:r>
    </w:p>
    <w:p w14:paraId="3EE8A0FA" w14:textId="77777777" w:rsidR="004C7B99" w:rsidRPr="00F833FD" w:rsidRDefault="00F032F4" w:rsidP="00F833FD">
      <w:pPr>
        <w:ind w:firstLine="426"/>
        <w:jc w:val="both"/>
      </w:pPr>
      <w:proofErr w:type="spellStart"/>
      <w:r w:rsidRPr="00F833FD">
        <w:rPr>
          <w:rStyle w:val="MdStrong"/>
        </w:rPr>
        <w:t>Diversity</w:t>
      </w:r>
      <w:proofErr w:type="spellEnd"/>
      <w:r w:rsidRPr="00F833FD">
        <w:rPr>
          <w:rStyle w:val="MdStrong"/>
        </w:rPr>
        <w:t xml:space="preserve"> </w:t>
      </w:r>
      <w:proofErr w:type="spellStart"/>
      <w:r w:rsidRPr="00F833FD">
        <w:rPr>
          <w:rStyle w:val="MdStrong"/>
        </w:rPr>
        <w:t>Ratio</w:t>
      </w:r>
      <w:proofErr w:type="spellEnd"/>
      <w:r w:rsidRPr="00F833FD">
        <w:rPr>
          <w:rStyle w:val="MdStrong"/>
        </w:rPr>
        <w:t>:</w:t>
      </w:r>
      <w:r w:rsidRPr="00F833FD">
        <w:t xml:space="preserve"> Доля женщин или представителей меньшинств в совете директоров или высшем руководстве. Этот показатель коррелирует с улучшением качества корпоративного управления и снижением рисков.</w:t>
      </w:r>
    </w:p>
    <w:p w14:paraId="7D74608C" w14:textId="77777777" w:rsidR="004C7B99" w:rsidRPr="00F833FD" w:rsidRDefault="00F032F4" w:rsidP="00F833FD">
      <w:pPr>
        <w:ind w:firstLine="426"/>
        <w:jc w:val="both"/>
      </w:pPr>
      <w:proofErr w:type="spellStart"/>
      <w:r w:rsidRPr="00F833FD">
        <w:rPr>
          <w:rStyle w:val="MdStrong"/>
        </w:rPr>
        <w:t>Water</w:t>
      </w:r>
      <w:proofErr w:type="spellEnd"/>
      <w:r w:rsidRPr="00F833FD">
        <w:rPr>
          <w:rStyle w:val="MdStrong"/>
        </w:rPr>
        <w:t xml:space="preserve"> </w:t>
      </w:r>
      <w:proofErr w:type="spellStart"/>
      <w:r w:rsidRPr="00F833FD">
        <w:rPr>
          <w:rStyle w:val="MdStrong"/>
        </w:rPr>
        <w:t>Usage</w:t>
      </w:r>
      <w:proofErr w:type="spellEnd"/>
      <w:r w:rsidRPr="00F833FD">
        <w:rPr>
          <w:rStyle w:val="MdStrong"/>
        </w:rPr>
        <w:t xml:space="preserve"> </w:t>
      </w:r>
      <w:proofErr w:type="spellStart"/>
      <w:r w:rsidRPr="00F833FD">
        <w:rPr>
          <w:rStyle w:val="MdStrong"/>
        </w:rPr>
        <w:t>Intensity</w:t>
      </w:r>
      <w:proofErr w:type="spellEnd"/>
      <w:r w:rsidRPr="00F833FD">
        <w:rPr>
          <w:rStyle w:val="MdStrong"/>
        </w:rPr>
        <w:t>:</w:t>
      </w:r>
      <w:r w:rsidRPr="00F833FD">
        <w:t xml:space="preserve"> Объем потребляемой воды на единицу продукции или выручки. Актуален для водоемких отраслей.</w:t>
      </w:r>
    </w:p>
    <w:p w14:paraId="0B61D827" w14:textId="77777777" w:rsidR="004C7B99" w:rsidRPr="00F833FD" w:rsidRDefault="00F032F4" w:rsidP="00F833FD">
      <w:pPr>
        <w:ind w:firstLine="426"/>
        <w:jc w:val="both"/>
      </w:pPr>
      <w:r w:rsidRPr="00F833FD">
        <w:t xml:space="preserve">Развитие этих коэффициентов тесно связано с концепцией </w:t>
      </w:r>
      <w:r w:rsidRPr="00F833FD">
        <w:rPr>
          <w:rStyle w:val="MdStrong"/>
        </w:rPr>
        <w:t>интегрированной отчетности</w:t>
      </w:r>
      <w:r w:rsidRPr="00F833FD">
        <w:t xml:space="preserve">, которая стремится объединить финансовую и нефинансовую информацию в </w:t>
      </w:r>
      <w:r w:rsidRPr="00F833FD">
        <w:lastRenderedPageBreak/>
        <w:t>едином документе. Цель интегрированной отчетности – предоставить стейкхолдерам целостное представление о том, как компания создает стоимость в краткосрочной, среднесрочной и долгосрочной перспективе, используя различные виды капитала (финансовый, производственный, интеллектуальный, человеческий, социальный и природный) [26].</w:t>
      </w:r>
    </w:p>
    <w:p w14:paraId="048CB11A" w14:textId="42EA109A" w:rsidR="004C7B99" w:rsidRPr="00F833FD" w:rsidRDefault="00F032F4" w:rsidP="00F833FD">
      <w:pPr>
        <w:ind w:firstLine="426"/>
        <w:jc w:val="both"/>
      </w:pPr>
      <w:r w:rsidRPr="00F833FD">
        <w:t>Таким образом, методологический аппарат интеграции ESG-показателей в финансовый анализ представляет собой сложный, но необходимый процесс, который позволяет перейти от декларативного заявления об устойчивости к ее количественной оценке и управлению. Это обеспечивает более точную интерпретацию финансовой отчетности и способствует принятию более обоснованных инвестиционных и управленческих решений.</w:t>
      </w:r>
    </w:p>
    <w:p w14:paraId="257FE6D3" w14:textId="77777777" w:rsidR="004C7B99" w:rsidRPr="00F833FD" w:rsidRDefault="00F032F4" w:rsidP="00F833FD">
      <w:pPr>
        <w:ind w:firstLine="426"/>
        <w:jc w:val="both"/>
        <w:rPr>
          <w:b/>
          <w:bCs/>
        </w:rPr>
      </w:pPr>
      <w:r w:rsidRPr="00F833FD">
        <w:rPr>
          <w:b/>
          <w:bCs/>
        </w:rPr>
        <w:t>Заключение</w:t>
      </w:r>
    </w:p>
    <w:p w14:paraId="27BDA8E8" w14:textId="77777777" w:rsidR="00320A42" w:rsidRPr="00F833FD" w:rsidRDefault="00320A42" w:rsidP="00F833FD">
      <w:pPr>
        <w:ind w:firstLine="426"/>
        <w:jc w:val="both"/>
      </w:pPr>
      <w:r w:rsidRPr="00F833FD">
        <w:t>Настоящее исследование убедительно демонстрирует, что в условиях глобальной ESG-трансформации традиционные подходы к интерпретации финансовой отчетности претерпевают фундаментальные изменения. Парадигма финансового анализа смещается от узконаправленной максимизации акционерной стоимости к более широкой концепции устойчивого создания стоимости, учитывающей интересы всех стейкхолдеров. ESG-факторы, ранее воспринимавшиеся как второстепенные, теперь являются неотъемлемыми детерминантами финансовой устойчивости, инвестиционной привлекательности и долгосрочной ценности бизнеса.</w:t>
      </w:r>
    </w:p>
    <w:p w14:paraId="1A646BBC" w14:textId="77777777" w:rsidR="00320A42" w:rsidRPr="00F833FD" w:rsidRDefault="00320A42" w:rsidP="00F833FD">
      <w:pPr>
        <w:ind w:firstLine="426"/>
        <w:jc w:val="both"/>
      </w:pPr>
      <w:r w:rsidRPr="00F833FD">
        <w:t>В работе были подробно рассмотрены методологические подходы к интеграции экологических (E), социальных (S) и управленческих (G) факторов в ключевые финансовые показатели, такие как средневзвешенная стоимость капитала (WACC), свободный денежный поток (FCF) и экономическая добавленная стоимость (EVA). На примере международного авиационного сектора, одного из наиболее чувствительных к ESG-рискам, показано, как углеродные налоги, капитальные затраты на декарбонизацию, риски «обесценения активов», управление человеческим капиталом, лояльность клиентов и качество корпоративного управления напрямую влияют на операционные расходы, доступ к капиталу и стратегические решения компаний.</w:t>
      </w:r>
    </w:p>
    <w:p w14:paraId="3C30B560" w14:textId="77777777" w:rsidR="00320A42" w:rsidRPr="00F833FD" w:rsidRDefault="00320A42" w:rsidP="00F833FD">
      <w:pPr>
        <w:ind w:firstLine="426"/>
        <w:jc w:val="both"/>
      </w:pPr>
      <w:r w:rsidRPr="00F833FD">
        <w:t xml:space="preserve">Несмотря на растущее признание значимости ESG, существуют существенные вызовы, связанные с отсутствием унифицированных стандартов отчетности и рисками </w:t>
      </w:r>
      <w:proofErr w:type="spellStart"/>
      <w:r w:rsidRPr="00F833FD">
        <w:t>гринвошинга</w:t>
      </w:r>
      <w:proofErr w:type="spellEnd"/>
      <w:r w:rsidRPr="00F833FD">
        <w:t xml:space="preserve">. Эти проблемы подчеркивают необходимость дальнейшего развития аналитического инструментария и регуляторной базы. В перспективе до 2030 года ожидается, что интегрированная отчетность станет доминирующим стандартом, а применение искусственного интеллекта и технологий </w:t>
      </w:r>
      <w:proofErr w:type="spellStart"/>
      <w:r w:rsidRPr="00F833FD">
        <w:t>блокчейн</w:t>
      </w:r>
      <w:proofErr w:type="spellEnd"/>
      <w:r w:rsidRPr="00F833FD">
        <w:t xml:space="preserve"> значительно повысит качество, сопоставимость и достоверность ESG-данных. Это, в свою очередь, позволит финансовым аналитикам трансформироваться в «аналитиков устойчивой стоимости», способных комплексно оценивать бизнес в новой экономической реальности.</w:t>
      </w:r>
    </w:p>
    <w:p w14:paraId="42D11BC6" w14:textId="77777777" w:rsidR="00320A42" w:rsidRPr="00F833FD" w:rsidRDefault="00320A42" w:rsidP="00F833FD">
      <w:pPr>
        <w:ind w:firstLine="426"/>
        <w:jc w:val="both"/>
      </w:pPr>
      <w:r w:rsidRPr="00F833FD">
        <w:t>Таким образом, успешная интерпретация финансовой отчетности в эпоху ESG требует глубокого понимания взаимосвязей между финансовыми и нефинансовыми показателями, а также способности адаптировать аналитические модели для отражения динамично меняющихся рыночных условий и ожиданий общества. Компании, активно интегрирующие ESG-принципы в свою стратегию и отчетность, будут иметь явное конкурентное преимущество в привлечении капитала и создании долгосрочной стоимости.</w:t>
      </w:r>
    </w:p>
    <w:p w14:paraId="6B2342EF" w14:textId="727F8DE4" w:rsidR="00320A42" w:rsidRPr="00F833FD" w:rsidRDefault="00320A42" w:rsidP="00F833FD">
      <w:pPr>
        <w:ind w:firstLine="426"/>
        <w:jc w:val="both"/>
      </w:pPr>
    </w:p>
    <w:p w14:paraId="55FE9606" w14:textId="0F74D3AC" w:rsidR="004C7B99" w:rsidRDefault="00F032F4" w:rsidP="00F833FD">
      <w:pPr>
        <w:jc w:val="center"/>
        <w:rPr>
          <w:b/>
          <w:bCs/>
        </w:rPr>
      </w:pPr>
      <w:r w:rsidRPr="00F833FD">
        <w:rPr>
          <w:b/>
          <w:bCs/>
        </w:rPr>
        <w:t>Список литературы</w:t>
      </w:r>
    </w:p>
    <w:p w14:paraId="0FE91CEB" w14:textId="77777777" w:rsidR="00F833FD" w:rsidRPr="00F833FD" w:rsidRDefault="00F833FD" w:rsidP="00F833FD">
      <w:pPr>
        <w:ind w:firstLine="426"/>
        <w:jc w:val="center"/>
        <w:rPr>
          <w:b/>
          <w:bCs/>
        </w:rPr>
      </w:pPr>
    </w:p>
    <w:p w14:paraId="6166E6DC" w14:textId="77777777" w:rsidR="00D26479" w:rsidRPr="00F833FD" w:rsidRDefault="001A7EF9" w:rsidP="00F833FD">
      <w:pPr>
        <w:ind w:firstLine="426"/>
        <w:jc w:val="both"/>
        <w:rPr>
          <w:lang w:val="en-US"/>
        </w:rPr>
      </w:pPr>
      <w:r w:rsidRPr="00F833FD">
        <w:rPr>
          <w:lang w:val="en-US"/>
        </w:rPr>
        <w:t>1. Graham, B., &amp; Dodd, D. L. (1934). Security Analysis. McGraw-Hill.</w:t>
      </w:r>
    </w:p>
    <w:p w14:paraId="43B376B0" w14:textId="77777777" w:rsidR="00D26479" w:rsidRPr="00F833FD" w:rsidRDefault="001A7EF9" w:rsidP="00F833FD">
      <w:pPr>
        <w:ind w:firstLine="426"/>
        <w:jc w:val="both"/>
        <w:rPr>
          <w:lang w:val="en-US"/>
        </w:rPr>
      </w:pPr>
      <w:r w:rsidRPr="00F833FD">
        <w:rPr>
          <w:lang w:val="en-US"/>
        </w:rPr>
        <w:t xml:space="preserve">2. Ross, S. A., </w:t>
      </w:r>
      <w:proofErr w:type="spellStart"/>
      <w:r w:rsidRPr="00F833FD">
        <w:rPr>
          <w:lang w:val="en-US"/>
        </w:rPr>
        <w:t>Westerfield</w:t>
      </w:r>
      <w:proofErr w:type="spellEnd"/>
      <w:r w:rsidRPr="00F833FD">
        <w:rPr>
          <w:lang w:val="en-US"/>
        </w:rPr>
        <w:t xml:space="preserve">, R. W., &amp; Jaffe, J. (2022). Corporate Finance (13th </w:t>
      </w:r>
      <w:proofErr w:type="gramStart"/>
      <w:r w:rsidRPr="00F833FD">
        <w:rPr>
          <w:lang w:val="en-US"/>
        </w:rPr>
        <w:t>ed</w:t>
      </w:r>
      <w:proofErr w:type="gramEnd"/>
      <w:r w:rsidRPr="00F833FD">
        <w:rPr>
          <w:lang w:val="en-US"/>
        </w:rPr>
        <w:t>.). McGraw-Hill Education.</w:t>
      </w:r>
    </w:p>
    <w:p w14:paraId="56DD25F0" w14:textId="77777777" w:rsidR="00D26479" w:rsidRPr="00F833FD" w:rsidRDefault="001A7EF9" w:rsidP="00F833FD">
      <w:pPr>
        <w:ind w:firstLine="426"/>
        <w:jc w:val="both"/>
        <w:rPr>
          <w:lang w:val="en-US"/>
        </w:rPr>
      </w:pPr>
      <w:r w:rsidRPr="00F833FD">
        <w:rPr>
          <w:lang w:val="en-US"/>
        </w:rPr>
        <w:t>3. Friedman, M. (1970). The Social Responsibility of Business Is to Increase Its Profits. The New York Times Magazine, September 13.</w:t>
      </w:r>
    </w:p>
    <w:p w14:paraId="7D054685" w14:textId="77777777" w:rsidR="00D26479" w:rsidRPr="00F833FD" w:rsidRDefault="001A7EF9" w:rsidP="00F833FD">
      <w:pPr>
        <w:ind w:firstLine="426"/>
        <w:jc w:val="both"/>
        <w:rPr>
          <w:lang w:val="en-US"/>
        </w:rPr>
      </w:pPr>
      <w:r w:rsidRPr="00F833FD">
        <w:rPr>
          <w:lang w:val="en-US"/>
        </w:rPr>
        <w:lastRenderedPageBreak/>
        <w:t>4. Schwab, K. (2020). Stakeholder Capitalism: A Global Economy that Works for Progress, People and Planet. Wiley.</w:t>
      </w:r>
    </w:p>
    <w:p w14:paraId="4E6F5074" w14:textId="77777777" w:rsidR="00D26479" w:rsidRPr="00F833FD" w:rsidRDefault="001A7EF9" w:rsidP="00F833FD">
      <w:pPr>
        <w:ind w:firstLine="426"/>
        <w:jc w:val="both"/>
        <w:rPr>
          <w:lang w:val="en-US"/>
        </w:rPr>
      </w:pPr>
      <w:r w:rsidRPr="00F833FD">
        <w:rPr>
          <w:lang w:val="en-US"/>
        </w:rPr>
        <w:t xml:space="preserve">5. Carbon Tracker Initiative. (2024). </w:t>
      </w:r>
      <w:proofErr w:type="gramStart"/>
      <w:r w:rsidRPr="00F833FD">
        <w:rPr>
          <w:lang w:val="en-US"/>
        </w:rPr>
        <w:t>The</w:t>
      </w:r>
      <w:proofErr w:type="gramEnd"/>
      <w:r w:rsidRPr="00F833FD">
        <w:rPr>
          <w:lang w:val="en-US"/>
        </w:rPr>
        <w:t xml:space="preserve"> Future of Stranded Assets. [Online]. Available at: https://carbontracker.org/reports/the-future-of-stranded-assets/ (Accessed: 10 April 2026).</w:t>
      </w:r>
    </w:p>
    <w:p w14:paraId="1F6E60F6" w14:textId="77777777" w:rsidR="00D26479" w:rsidRPr="00F833FD" w:rsidRDefault="001A7EF9" w:rsidP="00F833FD">
      <w:pPr>
        <w:ind w:firstLine="426"/>
        <w:jc w:val="both"/>
        <w:rPr>
          <w:lang w:val="en-US"/>
        </w:rPr>
      </w:pPr>
      <w:r w:rsidRPr="00F833FD">
        <w:rPr>
          <w:lang w:val="en-US"/>
        </w:rPr>
        <w:t>6. MSCI. (2025). ESG Investing Trends 2025. [Online]. Available at: https://www.msci.com/our-solutions/esg-investing/esg-trends-2025 (Accessed: 10 April 2026).</w:t>
      </w:r>
    </w:p>
    <w:p w14:paraId="688A89A4" w14:textId="77777777" w:rsidR="00D26479" w:rsidRPr="00F833FD" w:rsidRDefault="001A7EF9" w:rsidP="00F833FD">
      <w:pPr>
        <w:ind w:firstLine="426"/>
        <w:jc w:val="both"/>
        <w:rPr>
          <w:lang w:val="en-US"/>
        </w:rPr>
      </w:pPr>
      <w:r w:rsidRPr="00F833FD">
        <w:rPr>
          <w:lang w:val="en-US"/>
        </w:rPr>
        <w:t xml:space="preserve">7. Eccles, R. G., &amp; </w:t>
      </w:r>
      <w:proofErr w:type="spellStart"/>
      <w:r w:rsidRPr="00F833FD">
        <w:rPr>
          <w:lang w:val="en-US"/>
        </w:rPr>
        <w:t>Serafeim</w:t>
      </w:r>
      <w:proofErr w:type="spellEnd"/>
      <w:r w:rsidRPr="00F833FD">
        <w:rPr>
          <w:lang w:val="en-US"/>
        </w:rPr>
        <w:t>, G. (2013). The Impact of Corporate Sustainability on Organizational Processes and Performance. Management Science, 59(11), 2438-2457.</w:t>
      </w:r>
    </w:p>
    <w:p w14:paraId="25CF5556" w14:textId="77777777" w:rsidR="00D26479" w:rsidRPr="00F833FD" w:rsidRDefault="001A7EF9" w:rsidP="00F833FD">
      <w:pPr>
        <w:ind w:firstLine="426"/>
        <w:jc w:val="both"/>
        <w:rPr>
          <w:lang w:val="en-US"/>
        </w:rPr>
      </w:pPr>
      <w:r w:rsidRPr="00F833FD">
        <w:rPr>
          <w:lang w:val="en-US"/>
        </w:rPr>
        <w:t>8. Lufthansa Group. (2024). Annual Report 2024. [Online]. Available at: https://report.lufthansagroup.com/2024/annual-report/en/ (Accessed: 10 April 2026).</w:t>
      </w:r>
    </w:p>
    <w:p w14:paraId="1E098848" w14:textId="77777777" w:rsidR="00D26479" w:rsidRPr="00F833FD" w:rsidRDefault="001A7EF9" w:rsidP="00F833FD">
      <w:pPr>
        <w:ind w:firstLine="426"/>
        <w:jc w:val="both"/>
        <w:rPr>
          <w:lang w:val="en-US"/>
        </w:rPr>
      </w:pPr>
      <w:r w:rsidRPr="00F833FD">
        <w:rPr>
          <w:lang w:val="en-US"/>
        </w:rPr>
        <w:t>9. IATA. (2025). Sustainable Aviation Fuel (SAF) Roadmap. [Online]. Available at: https://www.iata.org/en/iata-repository/publications/economic-reports/sustainable-aviation-fuel-roadmap/ (Accessed: 10 April 2026).</w:t>
      </w:r>
    </w:p>
    <w:p w14:paraId="6EBDE2EF" w14:textId="77777777" w:rsidR="00D26479" w:rsidRPr="00F833FD" w:rsidRDefault="001A7EF9" w:rsidP="00F833FD">
      <w:pPr>
        <w:ind w:firstLine="426"/>
        <w:jc w:val="both"/>
        <w:rPr>
          <w:lang w:val="en-US"/>
        </w:rPr>
      </w:pPr>
      <w:r w:rsidRPr="00F833FD">
        <w:rPr>
          <w:lang w:val="en-US"/>
        </w:rPr>
        <w:t xml:space="preserve">10. Caldecott, B., Howarth, N., &amp; </w:t>
      </w:r>
      <w:proofErr w:type="spellStart"/>
      <w:r w:rsidRPr="00F833FD">
        <w:rPr>
          <w:lang w:val="en-US"/>
        </w:rPr>
        <w:t>McSharry</w:t>
      </w:r>
      <w:proofErr w:type="spellEnd"/>
      <w:r w:rsidRPr="00F833FD">
        <w:rPr>
          <w:lang w:val="en-US"/>
        </w:rPr>
        <w:t>, P. (2013). Stranded Assets and the Fossil Fuel Divestment Campaign: What Do the Numbers Say</w:t>
      </w:r>
      <w:proofErr w:type="gramStart"/>
      <w:r w:rsidRPr="00F833FD">
        <w:rPr>
          <w:lang w:val="en-US"/>
        </w:rPr>
        <w:t>?.</w:t>
      </w:r>
      <w:proofErr w:type="gramEnd"/>
      <w:r w:rsidRPr="00F833FD">
        <w:rPr>
          <w:lang w:val="en-US"/>
        </w:rPr>
        <w:t xml:space="preserve"> Smith School of Enterprise and the Environment, University of Oxford.</w:t>
      </w:r>
    </w:p>
    <w:p w14:paraId="05B7CE2F" w14:textId="77777777" w:rsidR="00D26479" w:rsidRPr="00F833FD" w:rsidRDefault="001A7EF9" w:rsidP="00F833FD">
      <w:pPr>
        <w:ind w:firstLine="426"/>
        <w:jc w:val="both"/>
        <w:rPr>
          <w:lang w:val="en-US"/>
        </w:rPr>
      </w:pPr>
      <w:r w:rsidRPr="00F833FD">
        <w:rPr>
          <w:lang w:val="en-US"/>
        </w:rPr>
        <w:t>11. PWC. (2024). ESG in the Boardroom: A Guide for Directors. [Online]. Available at: https://www.pwc.com/gx/en/services/audit-assurance/corporate-governance/esg-in-the-boardroom.html (Accessed: 10 April 2026).</w:t>
      </w:r>
    </w:p>
    <w:p w14:paraId="776D8F27" w14:textId="77777777" w:rsidR="00D26479" w:rsidRPr="00F833FD" w:rsidRDefault="001A7EF9" w:rsidP="00F833FD">
      <w:pPr>
        <w:ind w:firstLine="426"/>
        <w:jc w:val="both"/>
        <w:rPr>
          <w:lang w:val="en-US"/>
        </w:rPr>
      </w:pPr>
      <w:r w:rsidRPr="00F833FD">
        <w:rPr>
          <w:lang w:val="en-US"/>
        </w:rPr>
        <w:t>12. Qatar Airways. (2024). Corporate Sustainability Report 2023-2024. [Online]. Available at: https://www.qatarairways.com/en/about-qatar-airways/corporate-sustainability.html (Accessed: 10 April 2026).</w:t>
      </w:r>
    </w:p>
    <w:p w14:paraId="4119C035" w14:textId="77777777" w:rsidR="00D26479" w:rsidRPr="00F833FD" w:rsidRDefault="001A7EF9" w:rsidP="00F833FD">
      <w:pPr>
        <w:ind w:firstLine="426"/>
        <w:jc w:val="both"/>
        <w:rPr>
          <w:lang w:val="en-US"/>
        </w:rPr>
      </w:pPr>
      <w:r w:rsidRPr="00F833FD">
        <w:rPr>
          <w:lang w:val="en-US"/>
        </w:rPr>
        <w:t>13. Delta Air Lines. (2024). 2024 Delta Difference Report. [Online]. Available at: https://esghub.delta.com/content/dam/esg/2024/pdf/Delta-Difference-2024-Report.pdf (Accessed: 10 April 2026).</w:t>
      </w:r>
    </w:p>
    <w:p w14:paraId="13EF809B" w14:textId="77777777" w:rsidR="00D26479" w:rsidRPr="00F833FD" w:rsidRDefault="001A7EF9" w:rsidP="00F833FD">
      <w:pPr>
        <w:ind w:firstLine="426"/>
        <w:jc w:val="both"/>
        <w:rPr>
          <w:lang w:val="en-US"/>
        </w:rPr>
      </w:pPr>
      <w:r w:rsidRPr="00F833FD">
        <w:rPr>
          <w:lang w:val="en-US"/>
        </w:rPr>
        <w:t xml:space="preserve">14. </w:t>
      </w:r>
      <w:proofErr w:type="spellStart"/>
      <w:r w:rsidRPr="00F833FD">
        <w:rPr>
          <w:lang w:val="en-US"/>
        </w:rPr>
        <w:t>Gillan</w:t>
      </w:r>
      <w:proofErr w:type="spellEnd"/>
      <w:r w:rsidRPr="00F833FD">
        <w:rPr>
          <w:lang w:val="en-US"/>
        </w:rPr>
        <w:t>, S. L., &amp; Starks, L. T. (2007). The Evolution of Shareholder Activism in the United States. Journal of Applied Corporate Finance, 19(1), 55-73.</w:t>
      </w:r>
    </w:p>
    <w:p w14:paraId="66257B7F" w14:textId="77777777" w:rsidR="00D26479" w:rsidRPr="00F833FD" w:rsidRDefault="001A7EF9" w:rsidP="00F833FD">
      <w:pPr>
        <w:ind w:firstLine="426"/>
        <w:jc w:val="both"/>
        <w:rPr>
          <w:lang w:val="en-US"/>
        </w:rPr>
      </w:pPr>
      <w:r w:rsidRPr="00F833FD">
        <w:rPr>
          <w:lang w:val="en-US"/>
        </w:rPr>
        <w:t>15. Air Astana. (2024). Q4 and Full Year 2024 Results. [Online]. Available at: https://ir.airastana.com/media/8dd62b407588c5b/fy24-financial-and-operational-results-release_eng.pdf (Accessed: 10 April 2026).</w:t>
      </w:r>
    </w:p>
    <w:p w14:paraId="46FF9206" w14:textId="77777777" w:rsidR="00D26479" w:rsidRPr="00F833FD" w:rsidRDefault="001A7EF9" w:rsidP="00F833FD">
      <w:pPr>
        <w:ind w:firstLine="426"/>
        <w:jc w:val="both"/>
        <w:rPr>
          <w:lang w:val="en-US"/>
        </w:rPr>
      </w:pPr>
      <w:r w:rsidRPr="00F833FD">
        <w:rPr>
          <w:lang w:val="en-US"/>
        </w:rPr>
        <w:t xml:space="preserve">16. Gompers, P. A., Ishii, J., &amp; </w:t>
      </w:r>
      <w:proofErr w:type="spellStart"/>
      <w:r w:rsidRPr="00F833FD">
        <w:rPr>
          <w:lang w:val="en-US"/>
        </w:rPr>
        <w:t>Metrick</w:t>
      </w:r>
      <w:proofErr w:type="spellEnd"/>
      <w:r w:rsidRPr="00F833FD">
        <w:rPr>
          <w:lang w:val="en-US"/>
        </w:rPr>
        <w:t>, A. (2003). Corporate Governance and Equity Prices. The Quarterly Journal of Economics, 118(1), 107-155.</w:t>
      </w:r>
    </w:p>
    <w:p w14:paraId="5591D6AE" w14:textId="77777777" w:rsidR="00D26479" w:rsidRPr="00F833FD" w:rsidRDefault="001A7EF9" w:rsidP="00F833FD">
      <w:pPr>
        <w:ind w:firstLine="426"/>
        <w:jc w:val="both"/>
        <w:rPr>
          <w:lang w:val="en-US"/>
        </w:rPr>
      </w:pPr>
      <w:r w:rsidRPr="00F833FD">
        <w:rPr>
          <w:lang w:val="en-US"/>
        </w:rPr>
        <w:t>17. Lufthansa Group. (2024). ESG Strategy. [Online]. Available at: https://www.lufthansagroup.com/en/responsibility/company-and-sustainability/esg-strategy.html (Accessed: 10 April 2026).</w:t>
      </w:r>
    </w:p>
    <w:p w14:paraId="56E5BDA2" w14:textId="77777777" w:rsidR="00D26479" w:rsidRPr="00F833FD" w:rsidRDefault="001A7EF9" w:rsidP="00F833FD">
      <w:pPr>
        <w:ind w:firstLine="426"/>
        <w:jc w:val="both"/>
        <w:rPr>
          <w:lang w:val="en-US"/>
        </w:rPr>
      </w:pPr>
      <w:r w:rsidRPr="00F833FD">
        <w:rPr>
          <w:lang w:val="en-US"/>
        </w:rPr>
        <w:t xml:space="preserve">18. Damodaran, A. (2012). Investment Valuation: Tools and Techniques for Determining the Value of Any Asset (3rd </w:t>
      </w:r>
      <w:proofErr w:type="gramStart"/>
      <w:r w:rsidRPr="00F833FD">
        <w:rPr>
          <w:lang w:val="en-US"/>
        </w:rPr>
        <w:t>ed</w:t>
      </w:r>
      <w:proofErr w:type="gramEnd"/>
      <w:r w:rsidRPr="00F833FD">
        <w:rPr>
          <w:lang w:val="en-US"/>
        </w:rPr>
        <w:t>.). Wiley.</w:t>
      </w:r>
    </w:p>
    <w:p w14:paraId="46A8C352" w14:textId="77777777" w:rsidR="00D26479" w:rsidRPr="00F833FD" w:rsidRDefault="001A7EF9" w:rsidP="00F833FD">
      <w:pPr>
        <w:ind w:firstLine="426"/>
        <w:jc w:val="both"/>
        <w:rPr>
          <w:lang w:val="en-US"/>
        </w:rPr>
      </w:pPr>
      <w:r w:rsidRPr="00F833FD">
        <w:rPr>
          <w:lang w:val="en-US"/>
        </w:rPr>
        <w:t>19. Giese, G., &amp; Lee, L. (2019). ESG and the Cost of Capital. MSCI Research.</w:t>
      </w:r>
    </w:p>
    <w:p w14:paraId="535A07F7" w14:textId="77777777" w:rsidR="00D26479" w:rsidRPr="00F833FD" w:rsidRDefault="001A7EF9" w:rsidP="00F833FD">
      <w:pPr>
        <w:ind w:firstLine="426"/>
        <w:jc w:val="both"/>
        <w:rPr>
          <w:lang w:val="en-US"/>
        </w:rPr>
      </w:pPr>
      <w:r w:rsidRPr="00F833FD">
        <w:rPr>
          <w:lang w:val="en-US"/>
        </w:rPr>
        <w:t xml:space="preserve">20. </w:t>
      </w:r>
      <w:proofErr w:type="spellStart"/>
      <w:r w:rsidRPr="00F833FD">
        <w:rPr>
          <w:lang w:val="en-US"/>
        </w:rPr>
        <w:t>Friede</w:t>
      </w:r>
      <w:proofErr w:type="spellEnd"/>
      <w:r w:rsidRPr="00F833FD">
        <w:rPr>
          <w:lang w:val="en-US"/>
        </w:rPr>
        <w:t xml:space="preserve">, G., Busch, T., &amp; </w:t>
      </w:r>
      <w:proofErr w:type="spellStart"/>
      <w:r w:rsidRPr="00F833FD">
        <w:rPr>
          <w:lang w:val="en-US"/>
        </w:rPr>
        <w:t>Bassen</w:t>
      </w:r>
      <w:proofErr w:type="spellEnd"/>
      <w:r w:rsidRPr="00F833FD">
        <w:rPr>
          <w:lang w:val="en-US"/>
        </w:rPr>
        <w:t>, A. (2015). ESG and financial performance: aggregated evidence from more than 2000 empirical studies. Journal of Sustainable Finance &amp; Investment, 5(4), 210-233.</w:t>
      </w:r>
    </w:p>
    <w:p w14:paraId="3FF06D24" w14:textId="77777777" w:rsidR="00D26479" w:rsidRPr="00F833FD" w:rsidRDefault="001A7EF9" w:rsidP="00F833FD">
      <w:pPr>
        <w:ind w:firstLine="426"/>
        <w:jc w:val="both"/>
        <w:rPr>
          <w:lang w:val="en-US"/>
        </w:rPr>
      </w:pPr>
      <w:r w:rsidRPr="00F833FD">
        <w:rPr>
          <w:lang w:val="en-US"/>
        </w:rPr>
        <w:t xml:space="preserve">21. Koller, T., </w:t>
      </w:r>
      <w:proofErr w:type="spellStart"/>
      <w:r w:rsidRPr="00F833FD">
        <w:rPr>
          <w:lang w:val="en-US"/>
        </w:rPr>
        <w:t>Goedhart</w:t>
      </w:r>
      <w:proofErr w:type="spellEnd"/>
      <w:r w:rsidRPr="00F833FD">
        <w:rPr>
          <w:lang w:val="en-US"/>
        </w:rPr>
        <w:t xml:space="preserve">, M., &amp; Wessels, D. (2020). Valuation: Measuring and Managing the Value of Companies (7th </w:t>
      </w:r>
      <w:proofErr w:type="gramStart"/>
      <w:r w:rsidRPr="00F833FD">
        <w:rPr>
          <w:lang w:val="en-US"/>
        </w:rPr>
        <w:t>ed</w:t>
      </w:r>
      <w:proofErr w:type="gramEnd"/>
      <w:r w:rsidRPr="00F833FD">
        <w:rPr>
          <w:lang w:val="en-US"/>
        </w:rPr>
        <w:t>.). Wiley.</w:t>
      </w:r>
    </w:p>
    <w:p w14:paraId="0597D2D3" w14:textId="77777777" w:rsidR="00D26479" w:rsidRPr="00F833FD" w:rsidRDefault="001A7EF9" w:rsidP="00F833FD">
      <w:pPr>
        <w:ind w:firstLine="426"/>
        <w:jc w:val="both"/>
        <w:rPr>
          <w:lang w:val="en-US"/>
        </w:rPr>
      </w:pPr>
      <w:r w:rsidRPr="00F833FD">
        <w:rPr>
          <w:lang w:val="en-US"/>
        </w:rPr>
        <w:t>22. CDP. (2024). Climate Change Reporting Guidance. [Online]. Available at: https://www.cdp.net/en/guidance/guidance-for-companies/climate-change (Accessed: 10 April 2026).</w:t>
      </w:r>
    </w:p>
    <w:p w14:paraId="2C7FACD7" w14:textId="77777777" w:rsidR="00D26479" w:rsidRPr="00F833FD" w:rsidRDefault="001A7EF9" w:rsidP="00F833FD">
      <w:pPr>
        <w:ind w:firstLine="426"/>
        <w:jc w:val="both"/>
        <w:rPr>
          <w:lang w:val="en-US"/>
        </w:rPr>
      </w:pPr>
      <w:r w:rsidRPr="00F833FD">
        <w:rPr>
          <w:lang w:val="en-US"/>
        </w:rPr>
        <w:t xml:space="preserve">23. Stewart, G. B. (1991). The Quest for Value: A Guide for Senior Managers. </w:t>
      </w:r>
      <w:proofErr w:type="spellStart"/>
      <w:r w:rsidRPr="00F833FD">
        <w:rPr>
          <w:lang w:val="en-US"/>
        </w:rPr>
        <w:t>HarperBusiness</w:t>
      </w:r>
      <w:proofErr w:type="spellEnd"/>
      <w:r w:rsidRPr="00F833FD">
        <w:rPr>
          <w:lang w:val="en-US"/>
        </w:rPr>
        <w:t>.</w:t>
      </w:r>
    </w:p>
    <w:p w14:paraId="391672D2" w14:textId="77777777" w:rsidR="00D26479" w:rsidRPr="00F833FD" w:rsidRDefault="001A7EF9" w:rsidP="00F833FD">
      <w:pPr>
        <w:ind w:firstLine="426"/>
        <w:jc w:val="both"/>
        <w:rPr>
          <w:lang w:val="en-US"/>
        </w:rPr>
      </w:pPr>
      <w:r w:rsidRPr="00F833FD">
        <w:rPr>
          <w:lang w:val="en-US"/>
        </w:rPr>
        <w:t xml:space="preserve">24. Integrated Reporting. (2024). </w:t>
      </w:r>
      <w:proofErr w:type="gramStart"/>
      <w:r w:rsidRPr="00F833FD">
        <w:rPr>
          <w:lang w:val="en-US"/>
        </w:rPr>
        <w:t>The</w:t>
      </w:r>
      <w:proofErr w:type="gramEnd"/>
      <w:r w:rsidRPr="00F833FD">
        <w:rPr>
          <w:lang w:val="en-US"/>
        </w:rPr>
        <w:t xml:space="preserve"> International &lt;IR&gt; Framework. [Online]. Available at: https://www.integratedreporting.org/resource/international-ir-framework/ (Accessed: 10 April 2026).</w:t>
      </w:r>
    </w:p>
    <w:p w14:paraId="2D3FBD67" w14:textId="77777777" w:rsidR="00D26479" w:rsidRPr="00F833FD" w:rsidRDefault="001A7EF9" w:rsidP="00F833FD">
      <w:pPr>
        <w:ind w:firstLine="426"/>
        <w:jc w:val="both"/>
        <w:rPr>
          <w:lang w:val="en-US"/>
        </w:rPr>
      </w:pPr>
      <w:r w:rsidRPr="00F833FD">
        <w:rPr>
          <w:lang w:val="en-US"/>
        </w:rPr>
        <w:t>25. SASB. (2024). Materiality Map. [Online]. Available at: https://www.sasb.org/standards/materiality-map/ (Accessed: 10 April 2026).</w:t>
      </w:r>
    </w:p>
    <w:p w14:paraId="0151ED77" w14:textId="77777777" w:rsidR="00D26479" w:rsidRPr="00F833FD" w:rsidRDefault="001A7EF9" w:rsidP="00F833FD">
      <w:pPr>
        <w:ind w:firstLine="426"/>
        <w:jc w:val="both"/>
        <w:rPr>
          <w:lang w:val="en-US"/>
        </w:rPr>
      </w:pPr>
      <w:r w:rsidRPr="00F833FD">
        <w:rPr>
          <w:lang w:val="en-US"/>
        </w:rPr>
        <w:lastRenderedPageBreak/>
        <w:t xml:space="preserve">26. IIRC. (2013). </w:t>
      </w:r>
      <w:proofErr w:type="gramStart"/>
      <w:r w:rsidRPr="00F833FD">
        <w:rPr>
          <w:lang w:val="en-US"/>
        </w:rPr>
        <w:t>The</w:t>
      </w:r>
      <w:proofErr w:type="gramEnd"/>
      <w:r w:rsidRPr="00F833FD">
        <w:rPr>
          <w:lang w:val="en-US"/>
        </w:rPr>
        <w:t xml:space="preserve"> International &lt;IR&gt; Framework. [Online]. Available at: https://www.integratedreporting.org/resource/international-ir-framework/ (Accessed: 10 April 2026).</w:t>
      </w:r>
    </w:p>
    <w:sectPr w:rsidR="00D26479" w:rsidRPr="00F833FD" w:rsidSect="00B76C46">
      <w:pgSz w:w="11906" w:h="16838"/>
      <w:pgMar w:top="1134" w:right="1134" w:bottom="1134"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97B0A"/>
    <w:multiLevelType w:val="hybridMultilevel"/>
    <w:tmpl w:val="221C18E2"/>
    <w:lvl w:ilvl="0" w:tplc="291A347E">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C463C4D"/>
    <w:multiLevelType w:val="hybridMultilevel"/>
    <w:tmpl w:val="1424EDBA"/>
    <w:lvl w:ilvl="0" w:tplc="291A347E">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05B2B87"/>
    <w:multiLevelType w:val="multilevel"/>
    <w:tmpl w:val="EC54FA1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5F17D39"/>
    <w:multiLevelType w:val="hybridMultilevel"/>
    <w:tmpl w:val="8594E454"/>
    <w:lvl w:ilvl="0" w:tplc="291A347E">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6ED4597"/>
    <w:multiLevelType w:val="hybridMultilevel"/>
    <w:tmpl w:val="C8842516"/>
    <w:lvl w:ilvl="0" w:tplc="291A347E">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74F6D59"/>
    <w:multiLevelType w:val="hybridMultilevel"/>
    <w:tmpl w:val="7DD4B21A"/>
    <w:lvl w:ilvl="0" w:tplc="291A347E">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05F1507"/>
    <w:multiLevelType w:val="hybridMultilevel"/>
    <w:tmpl w:val="BF0A800E"/>
    <w:lvl w:ilvl="0" w:tplc="291A347E">
      <w:start w:val="1"/>
      <w:numFmt w:val="bullet"/>
      <w:lvlText w:val="•"/>
      <w:lvlJc w:val="left"/>
      <w:pPr>
        <w:ind w:left="720" w:hanging="360"/>
      </w:pPr>
    </w:lvl>
    <w:lvl w:ilvl="1" w:tplc="1F7C4B0E">
      <w:start w:val="1"/>
      <w:numFmt w:val="bullet"/>
      <w:lvlText w:val="◦"/>
      <w:lvlJc w:val="left"/>
      <w:pPr>
        <w:ind w:left="1440" w:hanging="360"/>
      </w:pPr>
    </w:lvl>
    <w:lvl w:ilvl="2" w:tplc="AD563982">
      <w:start w:val="1"/>
      <w:numFmt w:val="bullet"/>
      <w:lvlText w:val="•"/>
      <w:lvlJc w:val="left"/>
      <w:pPr>
        <w:ind w:left="2160" w:hanging="360"/>
      </w:pPr>
    </w:lvl>
    <w:lvl w:ilvl="3" w:tplc="8A463C2A">
      <w:start w:val="1"/>
      <w:numFmt w:val="bullet"/>
      <w:lvlText w:val="◦"/>
      <w:lvlJc w:val="left"/>
      <w:pPr>
        <w:ind w:left="2880" w:hanging="360"/>
      </w:pPr>
    </w:lvl>
    <w:lvl w:ilvl="4" w:tplc="86DC3F48">
      <w:start w:val="1"/>
      <w:numFmt w:val="bullet"/>
      <w:lvlText w:val="•"/>
      <w:lvlJc w:val="left"/>
      <w:pPr>
        <w:ind w:left="3600" w:hanging="360"/>
      </w:pPr>
    </w:lvl>
    <w:lvl w:ilvl="5" w:tplc="0DCA8202">
      <w:start w:val="1"/>
      <w:numFmt w:val="bullet"/>
      <w:lvlText w:val="◦"/>
      <w:lvlJc w:val="left"/>
      <w:pPr>
        <w:ind w:left="4320" w:hanging="360"/>
      </w:pPr>
    </w:lvl>
    <w:lvl w:ilvl="6" w:tplc="FA3A0A1E">
      <w:start w:val="1"/>
      <w:numFmt w:val="bullet"/>
      <w:lvlText w:val="•"/>
      <w:lvlJc w:val="left"/>
      <w:pPr>
        <w:ind w:left="5040" w:hanging="360"/>
      </w:pPr>
    </w:lvl>
    <w:lvl w:ilvl="7" w:tplc="65F020A4">
      <w:numFmt w:val="decimal"/>
      <w:lvlText w:val=""/>
      <w:lvlJc w:val="left"/>
    </w:lvl>
    <w:lvl w:ilvl="8" w:tplc="915AA9FC">
      <w:numFmt w:val="decimal"/>
      <w:lvlText w:val=""/>
      <w:lvlJc w:val="left"/>
    </w:lvl>
  </w:abstractNum>
  <w:abstractNum w:abstractNumId="7" w15:restartNumberingAfterBreak="0">
    <w:nsid w:val="5FC60343"/>
    <w:multiLevelType w:val="hybridMultilevel"/>
    <w:tmpl w:val="C1C2E062"/>
    <w:lvl w:ilvl="0" w:tplc="291A347E">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8031731"/>
    <w:multiLevelType w:val="hybridMultilevel"/>
    <w:tmpl w:val="C65E75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2B25F60"/>
    <w:multiLevelType w:val="hybridMultilevel"/>
    <w:tmpl w:val="D41AA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4AA0134"/>
    <w:multiLevelType w:val="hybridMultilevel"/>
    <w:tmpl w:val="CE149116"/>
    <w:lvl w:ilvl="0" w:tplc="89C6D596">
      <w:start w:val="1"/>
      <w:numFmt w:val="bullet"/>
      <w:lvlText w:val="●"/>
      <w:lvlJc w:val="left"/>
      <w:pPr>
        <w:ind w:left="720" w:hanging="360"/>
      </w:pPr>
    </w:lvl>
    <w:lvl w:ilvl="1" w:tplc="6322848C">
      <w:start w:val="1"/>
      <w:numFmt w:val="bullet"/>
      <w:lvlText w:val="○"/>
      <w:lvlJc w:val="left"/>
      <w:pPr>
        <w:ind w:left="1440" w:hanging="360"/>
      </w:pPr>
    </w:lvl>
    <w:lvl w:ilvl="2" w:tplc="6694BE78">
      <w:start w:val="1"/>
      <w:numFmt w:val="bullet"/>
      <w:lvlText w:val="■"/>
      <w:lvlJc w:val="left"/>
      <w:pPr>
        <w:ind w:left="2160" w:hanging="360"/>
      </w:pPr>
    </w:lvl>
    <w:lvl w:ilvl="3" w:tplc="7B32D34A">
      <w:start w:val="1"/>
      <w:numFmt w:val="bullet"/>
      <w:lvlText w:val="●"/>
      <w:lvlJc w:val="left"/>
      <w:pPr>
        <w:ind w:left="2880" w:hanging="360"/>
      </w:pPr>
    </w:lvl>
    <w:lvl w:ilvl="4" w:tplc="3698C6DC">
      <w:start w:val="1"/>
      <w:numFmt w:val="bullet"/>
      <w:lvlText w:val="○"/>
      <w:lvlJc w:val="left"/>
      <w:pPr>
        <w:ind w:left="3600" w:hanging="360"/>
      </w:pPr>
    </w:lvl>
    <w:lvl w:ilvl="5" w:tplc="62C6DFB4">
      <w:start w:val="1"/>
      <w:numFmt w:val="bullet"/>
      <w:lvlText w:val="■"/>
      <w:lvlJc w:val="left"/>
      <w:pPr>
        <w:ind w:left="4320" w:hanging="360"/>
      </w:pPr>
    </w:lvl>
    <w:lvl w:ilvl="6" w:tplc="AFB09FCE">
      <w:start w:val="1"/>
      <w:numFmt w:val="bullet"/>
      <w:lvlText w:val="●"/>
      <w:lvlJc w:val="left"/>
      <w:pPr>
        <w:ind w:left="5040" w:hanging="360"/>
      </w:pPr>
    </w:lvl>
    <w:lvl w:ilvl="7" w:tplc="4A60C470">
      <w:start w:val="1"/>
      <w:numFmt w:val="bullet"/>
      <w:lvlText w:val="●"/>
      <w:lvlJc w:val="left"/>
      <w:pPr>
        <w:ind w:left="5760" w:hanging="360"/>
      </w:pPr>
    </w:lvl>
    <w:lvl w:ilvl="8" w:tplc="B5A641AA">
      <w:start w:val="1"/>
      <w:numFmt w:val="bullet"/>
      <w:lvlText w:val="●"/>
      <w:lvlJc w:val="left"/>
      <w:pPr>
        <w:ind w:left="6480" w:hanging="360"/>
      </w:pPr>
    </w:lvl>
  </w:abstractNum>
  <w:num w:numId="1">
    <w:abstractNumId w:val="10"/>
    <w:lvlOverride w:ilvl="0">
      <w:startOverride w:val="1"/>
    </w:lvlOverride>
  </w:num>
  <w:num w:numId="2">
    <w:abstractNumId w:val="6"/>
    <w:lvlOverride w:ilvl="0">
      <w:startOverride w:val="1"/>
    </w:lvlOverride>
  </w:num>
  <w:num w:numId="3">
    <w:abstractNumId w:val="2"/>
    <w:lvlOverride w:ilvl="0">
      <w:startOverride w:val="1"/>
    </w:lvlOverride>
  </w:num>
  <w:num w:numId="4">
    <w:abstractNumId w:val="9"/>
  </w:num>
  <w:num w:numId="5">
    <w:abstractNumId w:val="8"/>
  </w:num>
  <w:num w:numId="6">
    <w:abstractNumId w:val="6"/>
  </w:num>
  <w:num w:numId="7">
    <w:abstractNumId w:val="4"/>
  </w:num>
  <w:num w:numId="8">
    <w:abstractNumId w:val="7"/>
  </w:num>
  <w:num w:numId="9">
    <w:abstractNumId w:val="5"/>
  </w:num>
  <w:num w:numId="10">
    <w:abstractNumId w:val="3"/>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B99"/>
    <w:rsid w:val="00130E12"/>
    <w:rsid w:val="001A7EF9"/>
    <w:rsid w:val="00320A42"/>
    <w:rsid w:val="00350EB2"/>
    <w:rsid w:val="003F3E88"/>
    <w:rsid w:val="004C7B99"/>
    <w:rsid w:val="00711829"/>
    <w:rsid w:val="007F58A3"/>
    <w:rsid w:val="00B717B5"/>
    <w:rsid w:val="00B76C46"/>
    <w:rsid w:val="00C74D76"/>
    <w:rsid w:val="00D26479"/>
    <w:rsid w:val="00E13F28"/>
    <w:rsid w:val="00F032F4"/>
    <w:rsid w:val="00F4329F"/>
    <w:rsid w:val="00F833FD"/>
    <w:rsid w:val="00FB36CE"/>
    <w:rsid w:val="00FD2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2435D"/>
  <w15:docId w15:val="{AEABFE9D-91DE-42EB-8061-E1CF4009C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unhideWhenUsed/>
    <w:qFormat/>
    <w:pPr>
      <w:outlineLvl w:val="1"/>
    </w:pPr>
    <w:rPr>
      <w:color w:val="2E74B5"/>
      <w:sz w:val="26"/>
      <w:szCs w:val="26"/>
    </w:rPr>
  </w:style>
  <w:style w:type="paragraph" w:styleId="3">
    <w:name w:val="heading 3"/>
    <w:uiPriority w:val="9"/>
    <w:unhideWhenUsed/>
    <w:qFormat/>
    <w:pPr>
      <w:outlineLvl w:val="2"/>
    </w:pPr>
    <w:rPr>
      <w:color w:val="1F4D78"/>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color="0563C1"/>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pPr>
      <w:ind w:left="720" w:hanging="360"/>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 w:type="paragraph" w:styleId="a9">
    <w:name w:val="Normal (Web)"/>
    <w:basedOn w:val="a"/>
    <w:uiPriority w:val="99"/>
    <w:semiHidden/>
    <w:unhideWhenUsed/>
    <w:rsid w:val="003F3E88"/>
    <w:pPr>
      <w:spacing w:before="100" w:beforeAutospacing="1" w:after="100" w:afterAutospacing="1"/>
    </w:pPr>
    <w:rPr>
      <w:lang w:eastAsia="ru-RU"/>
    </w:rPr>
  </w:style>
  <w:style w:type="character" w:customStyle="1" w:styleId="katex-mathml">
    <w:name w:val="katex-mathml"/>
    <w:basedOn w:val="a0"/>
    <w:rsid w:val="007F58A3"/>
  </w:style>
  <w:style w:type="character" w:customStyle="1" w:styleId="mord">
    <w:name w:val="mord"/>
    <w:basedOn w:val="a0"/>
    <w:rsid w:val="007F58A3"/>
  </w:style>
  <w:style w:type="character" w:customStyle="1" w:styleId="vlist-s">
    <w:name w:val="vlist-s"/>
    <w:basedOn w:val="a0"/>
    <w:rsid w:val="007F58A3"/>
  </w:style>
  <w:style w:type="table" w:styleId="-1">
    <w:name w:val="Grid Table 1 Light"/>
    <w:basedOn w:val="a1"/>
    <w:uiPriority w:val="46"/>
    <w:rsid w:val="00F4329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a">
    <w:name w:val="Table Grid"/>
    <w:basedOn w:val="a1"/>
    <w:uiPriority w:val="39"/>
    <w:rsid w:val="00F43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6629">
      <w:bodyDiv w:val="1"/>
      <w:marLeft w:val="0"/>
      <w:marRight w:val="0"/>
      <w:marTop w:val="0"/>
      <w:marBottom w:val="0"/>
      <w:divBdr>
        <w:top w:val="none" w:sz="0" w:space="0" w:color="auto"/>
        <w:left w:val="none" w:sz="0" w:space="0" w:color="auto"/>
        <w:bottom w:val="none" w:sz="0" w:space="0" w:color="auto"/>
        <w:right w:val="none" w:sz="0" w:space="0" w:color="auto"/>
      </w:divBdr>
    </w:div>
    <w:div w:id="194734657">
      <w:bodyDiv w:val="1"/>
      <w:marLeft w:val="0"/>
      <w:marRight w:val="0"/>
      <w:marTop w:val="0"/>
      <w:marBottom w:val="0"/>
      <w:divBdr>
        <w:top w:val="none" w:sz="0" w:space="0" w:color="auto"/>
        <w:left w:val="none" w:sz="0" w:space="0" w:color="auto"/>
        <w:bottom w:val="none" w:sz="0" w:space="0" w:color="auto"/>
        <w:right w:val="none" w:sz="0" w:space="0" w:color="auto"/>
      </w:divBdr>
      <w:divsChild>
        <w:div w:id="1547058564">
          <w:marLeft w:val="0"/>
          <w:marRight w:val="0"/>
          <w:marTop w:val="0"/>
          <w:marBottom w:val="0"/>
          <w:divBdr>
            <w:top w:val="single" w:sz="2" w:space="0" w:color="E5E7EB"/>
            <w:left w:val="single" w:sz="2" w:space="0" w:color="E5E7EB"/>
            <w:bottom w:val="single" w:sz="2" w:space="0" w:color="E5E7EB"/>
            <w:right w:val="single" w:sz="2" w:space="0" w:color="E5E7EB"/>
          </w:divBdr>
          <w:divsChild>
            <w:div w:id="1887453394">
              <w:marLeft w:val="0"/>
              <w:marRight w:val="0"/>
              <w:marTop w:val="0"/>
              <w:marBottom w:val="0"/>
              <w:divBdr>
                <w:top w:val="single" w:sz="2" w:space="0" w:color="E5E7EB"/>
                <w:left w:val="single" w:sz="2" w:space="0" w:color="E5E7EB"/>
                <w:bottom w:val="single" w:sz="2" w:space="0" w:color="E5E7EB"/>
                <w:right w:val="single" w:sz="2" w:space="0" w:color="E5E7EB"/>
              </w:divBdr>
              <w:divsChild>
                <w:div w:id="1566792036">
                  <w:marLeft w:val="0"/>
                  <w:marRight w:val="0"/>
                  <w:marTop w:val="0"/>
                  <w:marBottom w:val="0"/>
                  <w:divBdr>
                    <w:top w:val="single" w:sz="2" w:space="0" w:color="E5E7EB"/>
                    <w:left w:val="single" w:sz="2" w:space="0" w:color="E5E7EB"/>
                    <w:bottom w:val="single" w:sz="2" w:space="0" w:color="E5E7EB"/>
                    <w:right w:val="single" w:sz="2" w:space="0" w:color="E5E7EB"/>
                  </w:divBdr>
                  <w:divsChild>
                    <w:div w:id="1570967098">
                      <w:marLeft w:val="0"/>
                      <w:marRight w:val="0"/>
                      <w:marTop w:val="0"/>
                      <w:marBottom w:val="0"/>
                      <w:divBdr>
                        <w:top w:val="single" w:sz="2" w:space="11" w:color="E5E7EB"/>
                        <w:left w:val="single" w:sz="2" w:space="12" w:color="E5E7EB"/>
                        <w:bottom w:val="single" w:sz="2" w:space="11" w:color="E5E7EB"/>
                        <w:right w:val="single" w:sz="2" w:space="12" w:color="E5E7EB"/>
                      </w:divBdr>
                    </w:div>
                  </w:divsChild>
                </w:div>
              </w:divsChild>
            </w:div>
          </w:divsChild>
        </w:div>
      </w:divsChild>
    </w:div>
    <w:div w:id="1025717363">
      <w:bodyDiv w:val="1"/>
      <w:marLeft w:val="0"/>
      <w:marRight w:val="0"/>
      <w:marTop w:val="0"/>
      <w:marBottom w:val="0"/>
      <w:divBdr>
        <w:top w:val="none" w:sz="0" w:space="0" w:color="auto"/>
        <w:left w:val="none" w:sz="0" w:space="0" w:color="auto"/>
        <w:bottom w:val="none" w:sz="0" w:space="0" w:color="auto"/>
        <w:right w:val="none" w:sz="0" w:space="0" w:color="auto"/>
      </w:divBdr>
    </w:div>
    <w:div w:id="1662389923">
      <w:bodyDiv w:val="1"/>
      <w:marLeft w:val="0"/>
      <w:marRight w:val="0"/>
      <w:marTop w:val="0"/>
      <w:marBottom w:val="0"/>
      <w:divBdr>
        <w:top w:val="none" w:sz="0" w:space="0" w:color="auto"/>
        <w:left w:val="none" w:sz="0" w:space="0" w:color="auto"/>
        <w:bottom w:val="none" w:sz="0" w:space="0" w:color="auto"/>
        <w:right w:val="none" w:sz="0" w:space="0" w:color="auto"/>
      </w:divBdr>
    </w:div>
    <w:div w:id="1716394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1C27B-5A39-4BA7-AFF9-9EEF79962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4645</Words>
  <Characters>26479</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Converted Document</vt:lpstr>
    </vt:vector>
  </TitlesOfParts>
  <Company>JSC Airastana</Company>
  <LinksUpToDate>false</LinksUpToDate>
  <CharactersWithSpaces>31062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Admin</cp:lastModifiedBy>
  <cp:revision>5</cp:revision>
  <dcterms:created xsi:type="dcterms:W3CDTF">2026-04-27T04:43:00Z</dcterms:created>
  <dcterms:modified xsi:type="dcterms:W3CDTF">2026-04-27T13:53:00Z</dcterms:modified>
</cp:coreProperties>
</file>