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6EA" w:rsidRPr="00FB31CF" w:rsidRDefault="00BA26EA" w:rsidP="00FB31CF">
      <w:pPr>
        <w:pStyle w:val="a3"/>
        <w:jc w:val="both"/>
        <w:rPr>
          <w:rFonts w:ascii="Times New Roman" w:hAnsi="Times New Roman" w:cs="Times New Roman"/>
          <w:b/>
          <w:sz w:val="24"/>
          <w:szCs w:val="24"/>
        </w:rPr>
      </w:pPr>
      <w:r w:rsidRPr="00FB31CF">
        <w:rPr>
          <w:rFonts w:ascii="Times New Roman" w:hAnsi="Times New Roman" w:cs="Times New Roman"/>
          <w:b/>
          <w:sz w:val="24"/>
          <w:szCs w:val="24"/>
        </w:rPr>
        <w:t>УДК 343.3/.7</w:t>
      </w:r>
    </w:p>
    <w:p w:rsidR="00BA26EA" w:rsidRPr="00FB31CF" w:rsidRDefault="00BA26EA" w:rsidP="00FB31CF">
      <w:pPr>
        <w:pStyle w:val="a3"/>
        <w:jc w:val="center"/>
        <w:rPr>
          <w:rFonts w:ascii="Times New Roman" w:hAnsi="Times New Roman" w:cs="Times New Roman"/>
          <w:b/>
          <w:sz w:val="24"/>
          <w:szCs w:val="24"/>
        </w:rPr>
      </w:pPr>
      <w:proofErr w:type="spellStart"/>
      <w:r w:rsidRPr="00FB31CF">
        <w:rPr>
          <w:rFonts w:ascii="Times New Roman" w:hAnsi="Times New Roman" w:cs="Times New Roman"/>
          <w:b/>
          <w:sz w:val="24"/>
          <w:szCs w:val="24"/>
        </w:rPr>
        <w:t>Дюсембаева</w:t>
      </w:r>
      <w:proofErr w:type="spellEnd"/>
      <w:r w:rsidRPr="00FB31CF">
        <w:rPr>
          <w:rFonts w:ascii="Times New Roman" w:hAnsi="Times New Roman" w:cs="Times New Roman"/>
          <w:b/>
          <w:sz w:val="24"/>
          <w:szCs w:val="24"/>
        </w:rPr>
        <w:t xml:space="preserve"> Д.Р.</w:t>
      </w:r>
    </w:p>
    <w:p w:rsidR="00BA26EA" w:rsidRPr="00FB31CF" w:rsidRDefault="00BA26EA" w:rsidP="00FB31CF">
      <w:pPr>
        <w:pStyle w:val="a3"/>
        <w:jc w:val="center"/>
        <w:rPr>
          <w:rFonts w:ascii="Times New Roman" w:hAnsi="Times New Roman" w:cs="Times New Roman"/>
          <w:i/>
          <w:sz w:val="24"/>
          <w:szCs w:val="24"/>
        </w:rPr>
      </w:pPr>
      <w:r w:rsidRPr="00FB31CF">
        <w:rPr>
          <w:rFonts w:ascii="Times New Roman" w:hAnsi="Times New Roman" w:cs="Times New Roman"/>
          <w:i/>
          <w:sz w:val="24"/>
          <w:szCs w:val="24"/>
        </w:rPr>
        <w:t>доцент кафедры уголовного процесса и криминалистики</w:t>
      </w:r>
    </w:p>
    <w:p w:rsidR="00BA26EA" w:rsidRPr="00FB31CF" w:rsidRDefault="00BA26EA" w:rsidP="00FB31CF">
      <w:pPr>
        <w:pStyle w:val="a3"/>
        <w:jc w:val="center"/>
        <w:rPr>
          <w:rFonts w:ascii="Times New Roman" w:hAnsi="Times New Roman" w:cs="Times New Roman"/>
          <w:i/>
          <w:sz w:val="24"/>
          <w:szCs w:val="24"/>
        </w:rPr>
      </w:pPr>
      <w:proofErr w:type="spellStart"/>
      <w:r w:rsidRPr="00FB31CF">
        <w:rPr>
          <w:rFonts w:ascii="Times New Roman" w:hAnsi="Times New Roman" w:cs="Times New Roman"/>
          <w:i/>
          <w:sz w:val="24"/>
          <w:szCs w:val="24"/>
        </w:rPr>
        <w:t>Алматинской</w:t>
      </w:r>
      <w:proofErr w:type="spellEnd"/>
      <w:r w:rsidRPr="00FB31CF">
        <w:rPr>
          <w:rFonts w:ascii="Times New Roman" w:hAnsi="Times New Roman" w:cs="Times New Roman"/>
          <w:i/>
          <w:sz w:val="24"/>
          <w:szCs w:val="24"/>
        </w:rPr>
        <w:t xml:space="preserve"> академии МВД Республики Казахстан им. М. </w:t>
      </w:r>
      <w:proofErr w:type="spellStart"/>
      <w:r w:rsidRPr="00FB31CF">
        <w:rPr>
          <w:rFonts w:ascii="Times New Roman" w:hAnsi="Times New Roman" w:cs="Times New Roman"/>
          <w:i/>
          <w:sz w:val="24"/>
          <w:szCs w:val="24"/>
        </w:rPr>
        <w:t>Есбулатова</w:t>
      </w:r>
      <w:proofErr w:type="spellEnd"/>
      <w:r w:rsidRPr="00FB31CF">
        <w:rPr>
          <w:rFonts w:ascii="Times New Roman" w:hAnsi="Times New Roman" w:cs="Times New Roman"/>
          <w:i/>
          <w:sz w:val="24"/>
          <w:szCs w:val="24"/>
        </w:rPr>
        <w:t>,</w:t>
      </w:r>
    </w:p>
    <w:p w:rsidR="00BA26EA" w:rsidRPr="00FB31CF" w:rsidRDefault="00BA26EA" w:rsidP="00FB31CF">
      <w:pPr>
        <w:pStyle w:val="a3"/>
        <w:jc w:val="center"/>
        <w:rPr>
          <w:rFonts w:ascii="Times New Roman" w:hAnsi="Times New Roman" w:cs="Times New Roman"/>
          <w:i/>
          <w:sz w:val="24"/>
          <w:szCs w:val="24"/>
        </w:rPr>
      </w:pPr>
      <w:r w:rsidRPr="00FB31CF">
        <w:rPr>
          <w:rFonts w:ascii="Times New Roman" w:hAnsi="Times New Roman" w:cs="Times New Roman"/>
          <w:i/>
          <w:sz w:val="24"/>
          <w:szCs w:val="24"/>
        </w:rPr>
        <w:t>магистр юридических наук, подполковник полиции</w:t>
      </w:r>
    </w:p>
    <w:p w:rsidR="00BA26EA" w:rsidRPr="00FB31CF" w:rsidRDefault="00BA26EA" w:rsidP="00FB31CF">
      <w:pPr>
        <w:pStyle w:val="a3"/>
        <w:jc w:val="center"/>
        <w:rPr>
          <w:rFonts w:ascii="Times New Roman" w:hAnsi="Times New Roman" w:cs="Times New Roman"/>
          <w:b/>
          <w:sz w:val="24"/>
          <w:szCs w:val="24"/>
        </w:rPr>
      </w:pPr>
      <w:proofErr w:type="spellStart"/>
      <w:r w:rsidRPr="00FB31CF">
        <w:rPr>
          <w:rFonts w:ascii="Times New Roman" w:hAnsi="Times New Roman" w:cs="Times New Roman"/>
          <w:b/>
          <w:sz w:val="24"/>
          <w:szCs w:val="24"/>
        </w:rPr>
        <w:t>Абдрахманова</w:t>
      </w:r>
      <w:proofErr w:type="spellEnd"/>
      <w:r w:rsidRPr="00FB31CF">
        <w:rPr>
          <w:rFonts w:ascii="Times New Roman" w:hAnsi="Times New Roman" w:cs="Times New Roman"/>
          <w:b/>
          <w:sz w:val="24"/>
          <w:szCs w:val="24"/>
        </w:rPr>
        <w:t xml:space="preserve"> А.С.</w:t>
      </w:r>
    </w:p>
    <w:p w:rsidR="00BA26EA" w:rsidRPr="00FB31CF" w:rsidRDefault="00BA26EA" w:rsidP="00FB31CF">
      <w:pPr>
        <w:pStyle w:val="a3"/>
        <w:jc w:val="center"/>
        <w:rPr>
          <w:rFonts w:ascii="Times New Roman" w:hAnsi="Times New Roman" w:cs="Times New Roman"/>
          <w:i/>
          <w:sz w:val="24"/>
          <w:szCs w:val="24"/>
        </w:rPr>
      </w:pPr>
      <w:r w:rsidRPr="00FB31CF">
        <w:rPr>
          <w:rFonts w:ascii="Times New Roman" w:hAnsi="Times New Roman" w:cs="Times New Roman"/>
          <w:i/>
          <w:sz w:val="24"/>
          <w:szCs w:val="24"/>
        </w:rPr>
        <w:t>старший преподаватель кафедры уголовного процесса и криминалистики</w:t>
      </w:r>
    </w:p>
    <w:p w:rsidR="00BA26EA" w:rsidRPr="00FB31CF" w:rsidRDefault="00BA26EA" w:rsidP="00FB31CF">
      <w:pPr>
        <w:pStyle w:val="a3"/>
        <w:jc w:val="center"/>
        <w:rPr>
          <w:rFonts w:ascii="Times New Roman" w:hAnsi="Times New Roman" w:cs="Times New Roman"/>
          <w:i/>
          <w:sz w:val="24"/>
          <w:szCs w:val="24"/>
        </w:rPr>
      </w:pPr>
      <w:proofErr w:type="spellStart"/>
      <w:r w:rsidRPr="00FB31CF">
        <w:rPr>
          <w:rFonts w:ascii="Times New Roman" w:hAnsi="Times New Roman" w:cs="Times New Roman"/>
          <w:i/>
          <w:sz w:val="24"/>
          <w:szCs w:val="24"/>
        </w:rPr>
        <w:t>Алматинской</w:t>
      </w:r>
      <w:proofErr w:type="spellEnd"/>
      <w:r w:rsidRPr="00FB31CF">
        <w:rPr>
          <w:rFonts w:ascii="Times New Roman" w:hAnsi="Times New Roman" w:cs="Times New Roman"/>
          <w:i/>
          <w:sz w:val="24"/>
          <w:szCs w:val="24"/>
        </w:rPr>
        <w:t xml:space="preserve"> академии МВД Республики Казахстан им. М. </w:t>
      </w:r>
      <w:proofErr w:type="spellStart"/>
      <w:r w:rsidRPr="00FB31CF">
        <w:rPr>
          <w:rFonts w:ascii="Times New Roman" w:hAnsi="Times New Roman" w:cs="Times New Roman"/>
          <w:i/>
          <w:sz w:val="24"/>
          <w:szCs w:val="24"/>
        </w:rPr>
        <w:t>Есбулатова</w:t>
      </w:r>
      <w:proofErr w:type="spellEnd"/>
      <w:r w:rsidRPr="00FB31CF">
        <w:rPr>
          <w:rFonts w:ascii="Times New Roman" w:hAnsi="Times New Roman" w:cs="Times New Roman"/>
          <w:i/>
          <w:sz w:val="24"/>
          <w:szCs w:val="24"/>
        </w:rPr>
        <w:t>,</w:t>
      </w:r>
    </w:p>
    <w:p w:rsidR="00BA26EA" w:rsidRPr="00FB31CF" w:rsidRDefault="00BA26EA" w:rsidP="00FB31CF">
      <w:pPr>
        <w:pStyle w:val="a3"/>
        <w:jc w:val="center"/>
        <w:rPr>
          <w:rFonts w:ascii="Times New Roman" w:hAnsi="Times New Roman" w:cs="Times New Roman"/>
          <w:i/>
          <w:sz w:val="24"/>
          <w:szCs w:val="24"/>
        </w:rPr>
      </w:pPr>
      <w:r w:rsidRPr="00FB31CF">
        <w:rPr>
          <w:rFonts w:ascii="Times New Roman" w:hAnsi="Times New Roman" w:cs="Times New Roman"/>
          <w:i/>
          <w:sz w:val="24"/>
          <w:szCs w:val="24"/>
        </w:rPr>
        <w:t>подполковник полиции</w:t>
      </w:r>
    </w:p>
    <w:p w:rsidR="00BA26EA" w:rsidRPr="00FB31CF" w:rsidRDefault="00BA26EA" w:rsidP="00FB31CF">
      <w:pPr>
        <w:pStyle w:val="a3"/>
        <w:jc w:val="both"/>
        <w:rPr>
          <w:rFonts w:ascii="Times New Roman" w:hAnsi="Times New Roman" w:cs="Times New Roman"/>
          <w:sz w:val="24"/>
          <w:szCs w:val="24"/>
        </w:rPr>
      </w:pPr>
    </w:p>
    <w:p w:rsidR="00BA26EA" w:rsidRPr="00FB31CF" w:rsidRDefault="00BA26EA" w:rsidP="00FB31CF">
      <w:pPr>
        <w:pStyle w:val="a3"/>
        <w:jc w:val="center"/>
        <w:rPr>
          <w:rFonts w:ascii="Times New Roman" w:hAnsi="Times New Roman" w:cs="Times New Roman"/>
          <w:b/>
          <w:sz w:val="24"/>
          <w:szCs w:val="24"/>
        </w:rPr>
      </w:pPr>
      <w:r w:rsidRPr="00FB31CF">
        <w:rPr>
          <w:rFonts w:ascii="Times New Roman" w:hAnsi="Times New Roman" w:cs="Times New Roman"/>
          <w:b/>
          <w:sz w:val="24"/>
          <w:szCs w:val="24"/>
        </w:rPr>
        <w:t>Объекты и субъекты риска легализации (отмывания) доходов, полученных преступным путем: содержание и сферы возникновения</w:t>
      </w:r>
    </w:p>
    <w:p w:rsidR="00BA26EA" w:rsidRPr="00FB31CF" w:rsidRDefault="00BA26EA" w:rsidP="00FB31CF">
      <w:pPr>
        <w:pStyle w:val="a3"/>
        <w:jc w:val="center"/>
        <w:rPr>
          <w:rFonts w:ascii="Times New Roman" w:hAnsi="Times New Roman" w:cs="Times New Roman"/>
          <w:b/>
          <w:sz w:val="24"/>
          <w:szCs w:val="24"/>
          <w:lang w:val="en-US"/>
        </w:rPr>
      </w:pPr>
      <w:r w:rsidRPr="00FB31CF">
        <w:rPr>
          <w:rFonts w:ascii="Times New Roman" w:hAnsi="Times New Roman" w:cs="Times New Roman"/>
          <w:b/>
          <w:sz w:val="24"/>
          <w:szCs w:val="24"/>
          <w:lang w:val="en-US"/>
        </w:rPr>
        <w:t>*</w:t>
      </w:r>
    </w:p>
    <w:p w:rsidR="00BA26EA" w:rsidRPr="00FB31CF" w:rsidRDefault="00BA26EA" w:rsidP="00FB31CF">
      <w:pPr>
        <w:pStyle w:val="a3"/>
        <w:jc w:val="center"/>
        <w:rPr>
          <w:rFonts w:ascii="Times New Roman" w:hAnsi="Times New Roman" w:cs="Times New Roman"/>
          <w:b/>
          <w:sz w:val="24"/>
          <w:szCs w:val="24"/>
          <w:lang w:val="en-US"/>
        </w:rPr>
      </w:pPr>
      <w:r w:rsidRPr="00FB31CF">
        <w:rPr>
          <w:rFonts w:ascii="Times New Roman" w:hAnsi="Times New Roman" w:cs="Times New Roman"/>
          <w:b/>
          <w:sz w:val="24"/>
          <w:szCs w:val="24"/>
          <w:lang w:val="en-US"/>
        </w:rPr>
        <w:t>Objects and Subjects of the Risk of Legalization (Laundering) of Proceeds of Crime: Content and Areas of Occurrence</w:t>
      </w:r>
    </w:p>
    <w:p w:rsidR="00BA26EA" w:rsidRPr="00FB31CF" w:rsidRDefault="00BA26EA" w:rsidP="00FB31CF">
      <w:pPr>
        <w:pStyle w:val="a3"/>
        <w:ind w:firstLine="426"/>
        <w:jc w:val="both"/>
        <w:rPr>
          <w:rFonts w:ascii="Times New Roman" w:hAnsi="Times New Roman" w:cs="Times New Roman"/>
          <w:sz w:val="24"/>
          <w:szCs w:val="24"/>
          <w:lang w:val="en-US"/>
        </w:rPr>
      </w:pPr>
    </w:p>
    <w:p w:rsidR="00BA26EA" w:rsidRPr="00FB31CF" w:rsidRDefault="00BA26EA" w:rsidP="00FB31CF">
      <w:pPr>
        <w:pStyle w:val="a3"/>
        <w:ind w:firstLine="426"/>
        <w:jc w:val="both"/>
        <w:rPr>
          <w:rFonts w:ascii="Times New Roman" w:hAnsi="Times New Roman" w:cs="Times New Roman"/>
          <w:b/>
          <w:i/>
          <w:sz w:val="24"/>
          <w:szCs w:val="24"/>
        </w:rPr>
      </w:pPr>
      <w:r w:rsidRPr="00FB31CF">
        <w:rPr>
          <w:rFonts w:ascii="Times New Roman" w:hAnsi="Times New Roman" w:cs="Times New Roman"/>
          <w:b/>
          <w:i/>
          <w:sz w:val="24"/>
          <w:szCs w:val="24"/>
        </w:rPr>
        <w:t>Аннотация</w:t>
      </w:r>
    </w:p>
    <w:p w:rsidR="00BA26EA" w:rsidRPr="00FB31CF" w:rsidRDefault="00BA26EA" w:rsidP="00FB31CF">
      <w:pPr>
        <w:pStyle w:val="a3"/>
        <w:ind w:firstLine="426"/>
        <w:jc w:val="both"/>
        <w:rPr>
          <w:rFonts w:ascii="Times New Roman" w:hAnsi="Times New Roman" w:cs="Times New Roman"/>
          <w:i/>
          <w:sz w:val="24"/>
          <w:szCs w:val="24"/>
        </w:rPr>
      </w:pPr>
      <w:r w:rsidRPr="00FB31CF">
        <w:rPr>
          <w:rFonts w:ascii="Times New Roman" w:hAnsi="Times New Roman" w:cs="Times New Roman"/>
          <w:i/>
          <w:sz w:val="24"/>
          <w:szCs w:val="24"/>
        </w:rPr>
        <w:t>В статье исследуется содержание объектов и субъектов риска легализации (отмывания) доходов, полученных преступным путем, с учетом современного состояния национальной системы противодействия легализации преступных доходо</w:t>
      </w:r>
      <w:r w:rsidR="00FB31CF">
        <w:rPr>
          <w:rFonts w:ascii="Times New Roman" w:hAnsi="Times New Roman" w:cs="Times New Roman"/>
          <w:i/>
          <w:sz w:val="24"/>
          <w:szCs w:val="24"/>
        </w:rPr>
        <w:t xml:space="preserve">в, финансированию терроризма и </w:t>
      </w:r>
      <w:r w:rsidRPr="00FB31CF">
        <w:rPr>
          <w:rFonts w:ascii="Times New Roman" w:hAnsi="Times New Roman" w:cs="Times New Roman"/>
          <w:i/>
          <w:sz w:val="24"/>
          <w:szCs w:val="24"/>
        </w:rPr>
        <w:t>распространен</w:t>
      </w:r>
      <w:bookmarkStart w:id="0" w:name="_GoBack"/>
      <w:bookmarkEnd w:id="0"/>
      <w:r w:rsidRPr="00FB31CF">
        <w:rPr>
          <w:rFonts w:ascii="Times New Roman" w:hAnsi="Times New Roman" w:cs="Times New Roman"/>
          <w:i/>
          <w:sz w:val="24"/>
          <w:szCs w:val="24"/>
        </w:rPr>
        <w:t>ия оружия массового уничтожения. Обосновывается необходимость разграничения уголовно-правовых категорий «объект уголовного правонарушения» и «субъект уголовного правонарушения» с аналитическими категориями «объект риска» и «субъект риска», применяемыми в рамках риск-ориентированного подхода. Рассматриваются финансовые, экономические, организационные, цифровые и трансграничные факторы, формирующие уязвимость легального экономического оборота для проникновения преступного капитала. Анализируются законодательство Республики Казахстан, Национальная оценка рисков легализации (отмывания) преступных доходов за 2021–2023 гг., взаимная оценка Республики Казахстан 2023 года и первый регулярный отчет ЕАГ о последующем мониторинге Казахстана 2026 года. Авторское определение риска соотносится с официальным подходом, основанным на категориях угроз и уязвимостей. Предлагается многофакторная модель оценки риска, учитывающая источник преступного дохода, экономическую сферу, финансовый механизм, характеристики субъекта, географические и цифровые факторы, вероятность реализации и последствия риска, а также эффективность реагирования. Обосновывается положение о динамическом характере риска как состояния определенной экономической среды, изменяющегося под воздействием угроз, уязвимостей и эффективности применяемых мер.</w:t>
      </w:r>
    </w:p>
    <w:p w:rsidR="00BA26EA" w:rsidRPr="00FB31CF" w:rsidRDefault="00BA26EA" w:rsidP="00FB31CF">
      <w:pPr>
        <w:pStyle w:val="a3"/>
        <w:ind w:firstLine="426"/>
        <w:jc w:val="both"/>
        <w:rPr>
          <w:rFonts w:ascii="Times New Roman" w:hAnsi="Times New Roman" w:cs="Times New Roman"/>
          <w:i/>
          <w:sz w:val="24"/>
          <w:szCs w:val="24"/>
        </w:rPr>
      </w:pPr>
      <w:r w:rsidRPr="00FB31CF">
        <w:rPr>
          <w:rFonts w:ascii="Times New Roman" w:hAnsi="Times New Roman" w:cs="Times New Roman"/>
          <w:b/>
          <w:i/>
          <w:sz w:val="24"/>
          <w:szCs w:val="24"/>
        </w:rPr>
        <w:t>Ключевые слова:</w:t>
      </w:r>
      <w:r w:rsidRPr="00FB31CF">
        <w:rPr>
          <w:rFonts w:ascii="Times New Roman" w:hAnsi="Times New Roman" w:cs="Times New Roman"/>
          <w:i/>
          <w:sz w:val="24"/>
          <w:szCs w:val="24"/>
        </w:rPr>
        <w:t xml:space="preserve"> легализация преступных доходов, отмывание денег, ПОД/ФТ/ФРОМУ, финансовый мониторинг, риск-ориентированный подход, объект риска, субъект риска, цифровые активы, трансграничные операции, уязвимость, национальная оценка рисков.</w:t>
      </w:r>
    </w:p>
    <w:p w:rsidR="00BA26EA" w:rsidRPr="00FB31CF" w:rsidRDefault="00BA26EA" w:rsidP="00FB31CF">
      <w:pPr>
        <w:pStyle w:val="a3"/>
        <w:ind w:firstLine="426"/>
        <w:jc w:val="both"/>
        <w:rPr>
          <w:rFonts w:ascii="Times New Roman" w:hAnsi="Times New Roman" w:cs="Times New Roman"/>
          <w:i/>
          <w:sz w:val="24"/>
          <w:szCs w:val="24"/>
        </w:rPr>
      </w:pPr>
    </w:p>
    <w:p w:rsidR="00BA26EA" w:rsidRPr="00FB31CF" w:rsidRDefault="00BA26EA" w:rsidP="00FB31CF">
      <w:pPr>
        <w:pStyle w:val="a3"/>
        <w:ind w:firstLine="426"/>
        <w:jc w:val="both"/>
        <w:rPr>
          <w:rFonts w:ascii="Times New Roman" w:hAnsi="Times New Roman" w:cs="Times New Roman"/>
          <w:b/>
          <w:i/>
          <w:sz w:val="24"/>
          <w:szCs w:val="24"/>
          <w:lang w:val="en-US"/>
        </w:rPr>
      </w:pPr>
      <w:r w:rsidRPr="00FB31CF">
        <w:rPr>
          <w:rFonts w:ascii="Times New Roman" w:hAnsi="Times New Roman" w:cs="Times New Roman"/>
          <w:b/>
          <w:i/>
          <w:sz w:val="24"/>
          <w:szCs w:val="24"/>
          <w:lang w:val="en-US"/>
        </w:rPr>
        <w:t>Abstract</w:t>
      </w:r>
    </w:p>
    <w:p w:rsidR="00BA26EA" w:rsidRPr="00FB31CF" w:rsidRDefault="00BA26EA" w:rsidP="00FB31CF">
      <w:pPr>
        <w:pStyle w:val="a3"/>
        <w:ind w:firstLine="426"/>
        <w:jc w:val="both"/>
        <w:rPr>
          <w:rFonts w:ascii="Times New Roman" w:hAnsi="Times New Roman" w:cs="Times New Roman"/>
          <w:i/>
          <w:sz w:val="24"/>
          <w:szCs w:val="24"/>
          <w:lang w:val="en-US"/>
        </w:rPr>
      </w:pPr>
      <w:r w:rsidRPr="00FB31CF">
        <w:rPr>
          <w:rFonts w:ascii="Times New Roman" w:hAnsi="Times New Roman" w:cs="Times New Roman"/>
          <w:i/>
          <w:sz w:val="24"/>
          <w:szCs w:val="24"/>
          <w:lang w:val="en-US"/>
        </w:rPr>
        <w:t xml:space="preserve">The article examines the content of the objects and subjects of the risk of legalization (laundering) of proceeds of crime, taking into account the current state of Kazakhstan’s national AML/CFT/CPF system. The authors substantiate the need to distinguish the criminal-law categories of the “object of a criminal offence” and the “subject of a criminal offence” from the analytical categories of the “object of risk” and the “subject of risk” applied within the risk-based approach. The study examines financial, economic, organizational, digital and cross-border factors contributing to the vulnerability of the legitimate economic environment to criminal assets. Kazakhstan’s legislation, the National Money Laundering Risk Assessment for 2021–2023, the 2023 mutual evaluation and the first EAG regular follow-up report of 2026 </w:t>
      </w:r>
      <w:proofErr w:type="gramStart"/>
      <w:r w:rsidRPr="00FB31CF">
        <w:rPr>
          <w:rFonts w:ascii="Times New Roman" w:hAnsi="Times New Roman" w:cs="Times New Roman"/>
          <w:i/>
          <w:sz w:val="24"/>
          <w:szCs w:val="24"/>
          <w:lang w:val="en-US"/>
        </w:rPr>
        <w:t>are analyzed</w:t>
      </w:r>
      <w:proofErr w:type="gramEnd"/>
      <w:r w:rsidRPr="00FB31CF">
        <w:rPr>
          <w:rFonts w:ascii="Times New Roman" w:hAnsi="Times New Roman" w:cs="Times New Roman"/>
          <w:i/>
          <w:sz w:val="24"/>
          <w:szCs w:val="24"/>
          <w:lang w:val="en-US"/>
        </w:rPr>
        <w:t xml:space="preserve">. The authors correlate their definition of risk with the official approach based on threats and vulnerabilities and </w:t>
      </w:r>
      <w:r w:rsidRPr="00FB31CF">
        <w:rPr>
          <w:rFonts w:ascii="Times New Roman" w:hAnsi="Times New Roman" w:cs="Times New Roman"/>
          <w:i/>
          <w:sz w:val="24"/>
          <w:szCs w:val="24"/>
          <w:lang w:val="en-US"/>
        </w:rPr>
        <w:lastRenderedPageBreak/>
        <w:t xml:space="preserve">propose a multifactor model for risk assessment. The model takes into account the source of criminal proceeds, economic sector, </w:t>
      </w:r>
      <w:proofErr w:type="gramStart"/>
      <w:r w:rsidRPr="00FB31CF">
        <w:rPr>
          <w:rFonts w:ascii="Times New Roman" w:hAnsi="Times New Roman" w:cs="Times New Roman"/>
          <w:i/>
          <w:sz w:val="24"/>
          <w:szCs w:val="24"/>
          <w:lang w:val="en-US"/>
        </w:rPr>
        <w:t>financial</w:t>
      </w:r>
      <w:proofErr w:type="gramEnd"/>
      <w:r w:rsidRPr="00FB31CF">
        <w:rPr>
          <w:rFonts w:ascii="Times New Roman" w:hAnsi="Times New Roman" w:cs="Times New Roman"/>
          <w:i/>
          <w:sz w:val="24"/>
          <w:szCs w:val="24"/>
          <w:lang w:val="en-US"/>
        </w:rPr>
        <w:t xml:space="preserve"> mechanism, characteristics of the subject, geographical and digital factors, probability and consequences of risk, and the effectiveness of response measures. The authors regard risk as a dynamic state of a particular economic environment that changes under the influence of threats, vulnerabilities and the effectiveness of preventive and response measures.</w:t>
      </w:r>
    </w:p>
    <w:p w:rsidR="00BA26EA" w:rsidRPr="00FB31CF" w:rsidRDefault="00BA26EA" w:rsidP="00FB31CF">
      <w:pPr>
        <w:pStyle w:val="a3"/>
        <w:ind w:firstLine="426"/>
        <w:jc w:val="both"/>
        <w:rPr>
          <w:rFonts w:ascii="Times New Roman" w:hAnsi="Times New Roman" w:cs="Times New Roman"/>
          <w:i/>
          <w:sz w:val="24"/>
          <w:szCs w:val="24"/>
          <w:lang w:val="en-US"/>
        </w:rPr>
      </w:pPr>
      <w:r w:rsidRPr="00FB31CF">
        <w:rPr>
          <w:rFonts w:ascii="Times New Roman" w:hAnsi="Times New Roman" w:cs="Times New Roman"/>
          <w:b/>
          <w:i/>
          <w:sz w:val="24"/>
          <w:szCs w:val="24"/>
          <w:lang w:val="en-US"/>
        </w:rPr>
        <w:t>Key</w:t>
      </w:r>
      <w:r w:rsidR="00FB31CF">
        <w:rPr>
          <w:rFonts w:ascii="Times New Roman" w:hAnsi="Times New Roman" w:cs="Times New Roman"/>
          <w:b/>
          <w:i/>
          <w:sz w:val="24"/>
          <w:szCs w:val="24"/>
          <w:lang w:val="kk-KZ"/>
        </w:rPr>
        <w:t xml:space="preserve"> </w:t>
      </w:r>
      <w:r w:rsidRPr="00FB31CF">
        <w:rPr>
          <w:rFonts w:ascii="Times New Roman" w:hAnsi="Times New Roman" w:cs="Times New Roman"/>
          <w:b/>
          <w:i/>
          <w:sz w:val="24"/>
          <w:szCs w:val="24"/>
          <w:lang w:val="en-US"/>
        </w:rPr>
        <w:t>words:</w:t>
      </w:r>
      <w:r w:rsidRPr="00FB31CF">
        <w:rPr>
          <w:rFonts w:ascii="Times New Roman" w:hAnsi="Times New Roman" w:cs="Times New Roman"/>
          <w:i/>
          <w:sz w:val="24"/>
          <w:szCs w:val="24"/>
          <w:lang w:val="en-US"/>
        </w:rPr>
        <w:t xml:space="preserve"> money laundering, legalization of proceeds of crime, AML/CFT/CPF, financial monitoring, risk-based approach, object of risk, subject of risk, digital assets, cross-border transactions, vulnerability, national risk assessment.</w:t>
      </w:r>
    </w:p>
    <w:p w:rsidR="00BA26EA" w:rsidRPr="00FB31CF" w:rsidRDefault="00BA26EA" w:rsidP="00FB31CF">
      <w:pPr>
        <w:pStyle w:val="a3"/>
        <w:ind w:firstLine="426"/>
        <w:jc w:val="both"/>
        <w:rPr>
          <w:rFonts w:ascii="Times New Roman" w:hAnsi="Times New Roman" w:cs="Times New Roman"/>
          <w:sz w:val="24"/>
          <w:szCs w:val="24"/>
          <w:lang w:val="en-US"/>
        </w:rPr>
      </w:pP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b/>
          <w:sz w:val="24"/>
          <w:szCs w:val="24"/>
        </w:rPr>
        <w:t>Введение</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Легализация (отмывание) доходов, полученных преступным путем, относится к числу сложных социально-экономических и уголовно-правовых явлений. Его общественная опасность не исчерпывается последствиями предикатного уголовного правонарушения: проникновение преступных доходов в легальный экономический оборот способно нарушать устойчивость финансовой системы, искажать условия добросовестной конкуренции и создавать дополнительные угрозы экономической безопасности государства.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Современные механизмы перемещения и преобразования преступных активов становятся все более разнообразными. Наряду с традиционными банковскими операциями используются наличные денежные средства, корпоративные структуры, недвижимость, внешнеэкономические сделки, трансграничные переводы и цифровые активы. Поэтому эффективное противодействие легализации преступных доходов предполагает не только реагирование на уже совершенные уголовные правонарушения, но и выявление условий, при которых финансовая или экономическая среда может быть использована в противоправных целях.</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В казахстанской научной литературе исследуются различные аспекты данной проблемы. Р.Р. </w:t>
      </w:r>
      <w:proofErr w:type="spellStart"/>
      <w:r w:rsidRPr="00FB31CF">
        <w:rPr>
          <w:rFonts w:ascii="Times New Roman" w:hAnsi="Times New Roman" w:cs="Times New Roman"/>
          <w:sz w:val="24"/>
          <w:szCs w:val="24"/>
        </w:rPr>
        <w:t>Нугманов</w:t>
      </w:r>
      <w:proofErr w:type="spellEnd"/>
      <w:r w:rsidRPr="00FB31CF">
        <w:rPr>
          <w:rFonts w:ascii="Times New Roman" w:hAnsi="Times New Roman" w:cs="Times New Roman"/>
          <w:sz w:val="24"/>
          <w:szCs w:val="24"/>
        </w:rPr>
        <w:t xml:space="preserve"> рассматривает проблемы противодействия легализации преступных доходов и </w:t>
      </w:r>
      <w:proofErr w:type="spellStart"/>
      <w:r w:rsidRPr="00FB31CF">
        <w:rPr>
          <w:rFonts w:ascii="Times New Roman" w:hAnsi="Times New Roman" w:cs="Times New Roman"/>
          <w:sz w:val="24"/>
          <w:szCs w:val="24"/>
        </w:rPr>
        <w:t>правоприменения</w:t>
      </w:r>
      <w:proofErr w:type="spellEnd"/>
      <w:r w:rsidRPr="00FB31CF">
        <w:rPr>
          <w:rFonts w:ascii="Times New Roman" w:hAnsi="Times New Roman" w:cs="Times New Roman"/>
          <w:sz w:val="24"/>
          <w:szCs w:val="24"/>
        </w:rPr>
        <w:t xml:space="preserve"> [1]. Л.Ф. Татаринова и Д.В. Татаринов исследуют правовую природу финансового мониторинга [2]. Н.В. Сидорова, Л.К. </w:t>
      </w:r>
      <w:proofErr w:type="spellStart"/>
      <w:r w:rsidRPr="00FB31CF">
        <w:rPr>
          <w:rFonts w:ascii="Times New Roman" w:hAnsi="Times New Roman" w:cs="Times New Roman"/>
          <w:sz w:val="24"/>
          <w:szCs w:val="24"/>
        </w:rPr>
        <w:t>Кусаинова</w:t>
      </w:r>
      <w:proofErr w:type="spellEnd"/>
      <w:r w:rsidRPr="00FB31CF">
        <w:rPr>
          <w:rFonts w:ascii="Times New Roman" w:hAnsi="Times New Roman" w:cs="Times New Roman"/>
          <w:sz w:val="24"/>
          <w:szCs w:val="24"/>
        </w:rPr>
        <w:t xml:space="preserve">, А.Б. </w:t>
      </w:r>
      <w:proofErr w:type="spellStart"/>
      <w:r w:rsidRPr="00FB31CF">
        <w:rPr>
          <w:rFonts w:ascii="Times New Roman" w:hAnsi="Times New Roman" w:cs="Times New Roman"/>
          <w:sz w:val="24"/>
          <w:szCs w:val="24"/>
        </w:rPr>
        <w:t>Избасова</w:t>
      </w:r>
      <w:proofErr w:type="spellEnd"/>
      <w:r w:rsidRPr="00FB31CF">
        <w:rPr>
          <w:rFonts w:ascii="Times New Roman" w:hAnsi="Times New Roman" w:cs="Times New Roman"/>
          <w:sz w:val="24"/>
          <w:szCs w:val="24"/>
        </w:rPr>
        <w:t xml:space="preserve">, А.А. </w:t>
      </w:r>
      <w:proofErr w:type="spellStart"/>
      <w:r w:rsidRPr="00FB31CF">
        <w:rPr>
          <w:rFonts w:ascii="Times New Roman" w:hAnsi="Times New Roman" w:cs="Times New Roman"/>
          <w:sz w:val="24"/>
          <w:szCs w:val="24"/>
        </w:rPr>
        <w:t>Арын</w:t>
      </w:r>
      <w:proofErr w:type="spellEnd"/>
      <w:r w:rsidRPr="00FB31CF">
        <w:rPr>
          <w:rFonts w:ascii="Times New Roman" w:hAnsi="Times New Roman" w:cs="Times New Roman"/>
          <w:sz w:val="24"/>
          <w:szCs w:val="24"/>
        </w:rPr>
        <w:t xml:space="preserve"> и А.Г. Кан анализируют международное сотрудничество в данной сфере [3]. Б.Д. </w:t>
      </w:r>
      <w:proofErr w:type="spellStart"/>
      <w:r w:rsidRPr="00FB31CF">
        <w:rPr>
          <w:rFonts w:ascii="Times New Roman" w:hAnsi="Times New Roman" w:cs="Times New Roman"/>
          <w:sz w:val="24"/>
          <w:szCs w:val="24"/>
        </w:rPr>
        <w:t>Еркенов</w:t>
      </w:r>
      <w:proofErr w:type="spellEnd"/>
      <w:r w:rsidRPr="00FB31CF">
        <w:rPr>
          <w:rFonts w:ascii="Times New Roman" w:hAnsi="Times New Roman" w:cs="Times New Roman"/>
          <w:sz w:val="24"/>
          <w:szCs w:val="24"/>
        </w:rPr>
        <w:t xml:space="preserve"> исследует правовые инструменты противодействия криминальной легализации в условиях цифрового развития [4], а Б.Д. </w:t>
      </w:r>
      <w:proofErr w:type="spellStart"/>
      <w:r w:rsidRPr="00FB31CF">
        <w:rPr>
          <w:rFonts w:ascii="Times New Roman" w:hAnsi="Times New Roman" w:cs="Times New Roman"/>
          <w:sz w:val="24"/>
          <w:szCs w:val="24"/>
        </w:rPr>
        <w:t>Еркенов</w:t>
      </w:r>
      <w:proofErr w:type="spellEnd"/>
      <w:r w:rsidRPr="00FB31CF">
        <w:rPr>
          <w:rFonts w:ascii="Times New Roman" w:hAnsi="Times New Roman" w:cs="Times New Roman"/>
          <w:sz w:val="24"/>
          <w:szCs w:val="24"/>
        </w:rPr>
        <w:t xml:space="preserve"> и Е.М. </w:t>
      </w:r>
      <w:proofErr w:type="spellStart"/>
      <w:r w:rsidRPr="00FB31CF">
        <w:rPr>
          <w:rFonts w:ascii="Times New Roman" w:hAnsi="Times New Roman" w:cs="Times New Roman"/>
          <w:sz w:val="24"/>
          <w:szCs w:val="24"/>
        </w:rPr>
        <w:t>Бимолданов</w:t>
      </w:r>
      <w:proofErr w:type="spellEnd"/>
      <w:r w:rsidRPr="00FB31CF">
        <w:rPr>
          <w:rFonts w:ascii="Times New Roman" w:hAnsi="Times New Roman" w:cs="Times New Roman"/>
          <w:sz w:val="24"/>
          <w:szCs w:val="24"/>
        </w:rPr>
        <w:t xml:space="preserve"> — проблемы использования конверсионных сделок [5].</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Вместе с тем в научной литературе недостаточно разработан вопрос о содержании категорий «объект риска» и «субъект риска», их соотношении с уголовно-правовыми категориями объекта и субъекта уголовного правонарушения, а также их месте в современной системе риск-ориентированного противодействия легализации преступных доходов.</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Цель исследования состоит в теоретическом разграничении указанных категорий, определении основных сфер возникновения риска легализации преступных доходов и разработке авторской модели его комплексной оценки.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Методологическую основу исследования составили формально-юридический, системный, сравнительно-правовой и риск-ориентированный методы.</w:t>
      </w: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b/>
          <w:sz w:val="24"/>
          <w:szCs w:val="24"/>
        </w:rPr>
        <w:t>1. Понятие риска легализации преступных доходов</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Риск легализации преступных доходов не следует отождествлять с совершенным уголовным правонарушением. Уголовное право устанавливает признаки конкретного общественно опасного деяния и основания уголовной ответственности. Риск-ориентированный подход решает иную задачу: он направлен на выявление условий, при которых определенная среда, операция, услуга или деятельность могут быть использованы для реализации соответствующей угрозы.</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Законодательство Республики Казахстан закрепляет оценку рисков как элемент национальной системы противодействия легализации (отмыванию) доходов, полученных </w:t>
      </w:r>
      <w:r w:rsidRPr="00FB31CF">
        <w:rPr>
          <w:rFonts w:ascii="Times New Roman" w:hAnsi="Times New Roman" w:cs="Times New Roman"/>
          <w:sz w:val="24"/>
          <w:szCs w:val="24"/>
        </w:rPr>
        <w:lastRenderedPageBreak/>
        <w:t>преступным путем, финансированию терроризма и финансированию распространения оружия массового уничтожения. Правила проведения национальной оценки рисков связывают риск с возможностью причинения ущерба финансовой системе и экономике посредством финансовых операций (сделок) в результате реализации угроз и (или) наличия уязвимостей [6].</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Таким образом, официальная конструкция риска основана прежде всего на взаимосвязи двух элементов — угрозы и уязвимости. Национальная оценка рисков, в свою очередь, предназначена для определения таких угроз и уязвимостей, выявления используемых методов, подверженных риску продуктов и </w:t>
      </w:r>
      <w:r w:rsidR="003B2CE9" w:rsidRPr="00FB31CF">
        <w:rPr>
          <w:rFonts w:ascii="Times New Roman" w:hAnsi="Times New Roman" w:cs="Times New Roman"/>
          <w:sz w:val="24"/>
          <w:szCs w:val="24"/>
        </w:rPr>
        <w:t>услуг,</w:t>
      </w:r>
      <w:r w:rsidRPr="00FB31CF">
        <w:rPr>
          <w:rFonts w:ascii="Times New Roman" w:hAnsi="Times New Roman" w:cs="Times New Roman"/>
          <w:sz w:val="24"/>
          <w:szCs w:val="24"/>
        </w:rPr>
        <w:t xml:space="preserve"> и определения необходимых мер реагирования [6].</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Данный подход позволяет уточнить авторское понимание риска. В настоящем исследовании под риском легализации преступных доходов предлагается понимать вероятность использования финансовой, экономической, организационной, цифровой или трансграничной среды для сокрытия, перемещения, преобразования либо включения в легальный оборот имущества, полученного преступным путем, возникающую вследствие сочетания соответствующей угрозы, уязвимости, особенностей финансового механизма и эффективности мер предупреждения и реагирования.</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Предлагаемое определение развивает официальную конструкцию, не подменяя ее. Если нормативный подход акцентирует угрозу, уязвимость и возможный ущерб, то авторское определение дополнительно учитывает механизм реализации риска и способность существующей системы контроля его своевременно выявлять и минимизировать.</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В структуре риска целесообразно выделить четыре взаимосвязанных элемента: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1. угроза — наличие преступного дохода и лиц либо организованных структур, заинтересованных в его перемещении, сокрытии или преобразовании;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2. уязвимость — свойства определенной финансовой, экономической, организационной или цифровой среды, облегчающие ее использование в противоправных целях;</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3. механизм реализации — конкретный способ перемещения, преобразования, сокрытия или использования имущества;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4. эффективность реагирования — способность государства и субъектов финансового мониторинга своевременно выявлять, ограничивать и минимизировать соответствующий риск.</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Следовательно, риск представляет собой не постоянную характеристику конкретного лица или операции, а изменяющееся состояние определенной среды. Его уровень может меняться в зависимости от характера угроз, степени уязвимости, используемых финансовых механизмов и эффективности применяемых мер контроля.</w:t>
      </w: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b/>
          <w:sz w:val="24"/>
          <w:szCs w:val="24"/>
        </w:rPr>
        <w:t>2. Объект уголовного правонарушения и объект риска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Разграничение объекта уголовного правонарушения и объекта риска необходимо для правильного определения предмета анализа.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Статья 218 УК Республики Казахстан устанавливает уголовную ответственность за легализацию (отмывание) денег и (или) иного имущества, полученных преступным путем [8]. Следовательно, объект уголовного правонарушения определяется в рамках уголовно-правовой характеристики соответствующего состава и связан с общественными отношениями, охраняемыми уголовным законом.</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Объект риска имеет иное содержание.</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Под объектом риска предлагается понимать финансовую, экономическую, организационную, цифровую либо иную среду, отдельные свойства которой создают условия для ее использования в целях легализации преступных доходов.</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Иными словами, объект риска характеризует не общественное отношение, охраняемое уголовным законом, а ту среду или механизм, в пределах которых существует возможность реализации соответствующей угрозы.</w:t>
      </w:r>
    </w:p>
    <w:p w:rsidR="00BA26EA" w:rsidRPr="00FB31CF" w:rsidRDefault="00BA26EA" w:rsidP="00FB31CF">
      <w:pPr>
        <w:pStyle w:val="a3"/>
        <w:ind w:firstLine="426"/>
        <w:jc w:val="both"/>
        <w:rPr>
          <w:rFonts w:ascii="Times New Roman" w:hAnsi="Times New Roman" w:cs="Times New Roman"/>
          <w:sz w:val="24"/>
          <w:szCs w:val="24"/>
        </w:rPr>
      </w:pP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lastRenderedPageBreak/>
        <w:t>Например, банковский перевод сам по себе является законной финансовой операцией. Однако несоответствие операции финансовому профилю клиента, сложная цепочка посредников, непрозрачность происхождения средств, отсутствие очевидной экономической цели или трансграничный характер в совокупности могут повышать уровень риска.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Поэтому риск связан не с противоправностью конкретной операции как таковой, а с уязвимостью финансового механизма при определенном сочетании обстоятельств.</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К основным объектам риска могут относиться:</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ab/>
        <w:t>- банковские и платежные операции;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наличный денежный оборот;</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трансграничные переводы;</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рынок недвижимости;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корпоративные структуры;</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внешнеэкономические операции;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операции с ценными бумагами;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операции с драгоценными металлами и драгоценными камнями;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цифровые активы;</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иные экономические сферы, обладающие соответствующими уязвимостями.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При этом включение определенной сферы в систему риск-ориентированной оценки не означает признания ее противоправной. Аналогично высокий уровень риска не свидетельствует сам по себе о совершении уголовного правонарушения.</w:t>
      </w: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b/>
          <w:sz w:val="24"/>
          <w:szCs w:val="24"/>
        </w:rPr>
        <w:t>3. Субъект уголовного правонарушения и субъект риска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Различие между уголовно-правовой и риск-ориентированной категориями распространяется также на субъект.</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Субъект уголовного правонарушения определяется уголовным законом и представляет собой лицо, обладающее установленными законом признаками и способное нести уголовную ответственность за совершенное деяние.</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Субъект риска имеет иное функциональное назначение.</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Под субъектом риска предлагается понимать физическое или юридическое лицо либо организационную структуру, характеристики деятельности, операций, статуса, собственности или </w:t>
      </w:r>
      <w:proofErr w:type="gramStart"/>
      <w:r w:rsidRPr="00FB31CF">
        <w:rPr>
          <w:rFonts w:ascii="Times New Roman" w:hAnsi="Times New Roman" w:cs="Times New Roman"/>
          <w:sz w:val="24"/>
          <w:szCs w:val="24"/>
        </w:rPr>
        <w:t>экономических связей</w:t>
      </w:r>
      <w:proofErr w:type="gramEnd"/>
      <w:r w:rsidRPr="00FB31CF">
        <w:rPr>
          <w:rFonts w:ascii="Times New Roman" w:hAnsi="Times New Roman" w:cs="Times New Roman"/>
          <w:sz w:val="24"/>
          <w:szCs w:val="24"/>
        </w:rPr>
        <w:t xml:space="preserve"> которых способны создавать или повышать вероятность использования соответствующей среды для легализации преступных доходов.</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Таким образом, субъект риска не является синонимом нарушителя закона.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Например, отнесение клиента финансовой организации к категории повышенного риска означает необходимость применения предусмотренных системой ПОД/ФТ/ФРОМУ мер контроля, но само по себе не подтверждает совершение им уголовного правонарушения.</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Необходимо также разграничивать субъект риска и субъект финансового мониторинга.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Субъект финансового мониторинга определяется законодательством исходя из характера осуществляемой деятельности и возложенных на соответствующее лицо обязанностей. Субъект риска определяется иначе — через потенциальную подверженность деятельности конкретного лица, организации, операции либо экономического механизма риску легализации преступных доходов.</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В результате можно выделить три самостоятельные категории: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1. субъект уголовного правонарушения — лицо, совершившее конкретное уголовно наказуемое деяние;</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2. субъект финансового мониторинга — лицо или организация, на которых законодательством возложены обязанности в системе ПОД/ФТ/ФРОМУ;</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3. субъект риска — лицо, организация либо структура, характеристики деятельности которых способны формировать или повышать соответствующий риск.</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Такое разграничение имеет не только теоретическое, но и практическое значение. Оно препятствует переносу выводов риск-ориентированной оценки в сферу уголовно-правовой оценки виновности.</w:t>
      </w: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sz w:val="24"/>
          <w:szCs w:val="24"/>
        </w:rPr>
        <w:tab/>
      </w:r>
      <w:r w:rsidRPr="00FB31CF">
        <w:rPr>
          <w:rFonts w:ascii="Times New Roman" w:hAnsi="Times New Roman" w:cs="Times New Roman"/>
          <w:b/>
          <w:sz w:val="24"/>
          <w:szCs w:val="24"/>
        </w:rPr>
        <w:t>4. Основные сферы возникновения риска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lastRenderedPageBreak/>
        <w:t>Риск легализации преступных доходов возникает в различных секторах экономики. Национальная оценка рисков Республики Казахстан за 2021–2023 гг. рассматривает широкий круг угроз и уязвимостей, а также используемые способы легализации и финансовые инструменты [7].</w:t>
      </w: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b/>
          <w:sz w:val="24"/>
          <w:szCs w:val="24"/>
        </w:rPr>
        <w:t>4.1. Финансовый сектор</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Финансовый сектор занимает центральное место в системе управления рисками вследствие значительного объема денежных потоков, проходящих через финансовые организации.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Уровень риска может повышаться при сложной структуре операций, несоответствии финансового поведения клиента характеру его деятельности, непрозрачности структуры собственности, использовании посредников, отсутствии очевидной экономической цели либо сочетании нескольких факторов.</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При этом сама по себе крупная или сложная операция не свидетельствует о ее противоправности. Риск определяется не отдельным признаком, а их совокупностью и контекстом.</w:t>
      </w: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b/>
          <w:sz w:val="24"/>
          <w:szCs w:val="24"/>
        </w:rPr>
        <w:t>4.2. Наличные денежные средства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Наличный денежный оборот характеризуется меньшей прозрачностью происхождения и последующего движения денежных средств по сравнению с рядом безналичных инструментов.</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В связи с этим операции с наличными могут выступать одним из факторов риска. Однако их наличие также требует оценки в совокупности с другими обстоятельствами и не может автоматически рассматриваться как признак легализации преступных доходов.</w:t>
      </w: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b/>
          <w:sz w:val="24"/>
          <w:szCs w:val="24"/>
        </w:rPr>
        <w:t>4.3. Трансграничные операции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Трансграничное движение финансовых потоков способно осложнять установление источника денежных средств, конечного бенефициарного собственника и экономического содержания операции.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Использование нескольких юрисдикций может создавать дополнительные организационные и правовые препятствия для получения необходимой информации. В связи с этим международное сотрудничество выступает важным элементом управления трансграничными рисками [3].</w:t>
      </w: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b/>
          <w:sz w:val="24"/>
          <w:szCs w:val="24"/>
        </w:rPr>
        <w:t>4.4. Недвижимость и корпоративные структуры</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Рынок недвижимости может использоваться для размещения и последующей интеграции преступного капитала вследствие высокой стоимости объектов, различных форм финансирования и возможности долгосрочного владения.</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Сходная проблема возникает при использовании корпоративных структур для сокрытия действительных владельцев, перемещения средств между взаимосвязанными субъектами или создания видимости законного экономического оборота.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В обоих случаях принципиальное значение имеет установление источника средств, конечного бенефициарного собственника и реального экономического содержания операций.</w:t>
      </w: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b/>
          <w:sz w:val="24"/>
          <w:szCs w:val="24"/>
        </w:rPr>
        <w:t>4.5. Цифровые активы</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Цифровизация финансовых отношений формирует новые механизмы перемещения стоимости и, соответственно, новые уязвимости для системы ПОД/ФТ/ФРОМУ.</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Цифровые активы позволяют осуществлять быстрые трансграничные операции, а особенности цифровой инфраструктуры могут осложнять установление экономической сущности отдельных операций и идентификацию участников.</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Вместе с тем сама цифровая технология не является криминогенной. Риск возникает вследствие возможности ее использования при наличии соответствующей угрозы и уязвимости.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Б.Д. </w:t>
      </w:r>
      <w:proofErr w:type="spellStart"/>
      <w:r w:rsidRPr="00FB31CF">
        <w:rPr>
          <w:rFonts w:ascii="Times New Roman" w:hAnsi="Times New Roman" w:cs="Times New Roman"/>
          <w:sz w:val="24"/>
          <w:szCs w:val="24"/>
        </w:rPr>
        <w:t>Еркенов</w:t>
      </w:r>
      <w:proofErr w:type="spellEnd"/>
      <w:r w:rsidRPr="00FB31CF">
        <w:rPr>
          <w:rFonts w:ascii="Times New Roman" w:hAnsi="Times New Roman" w:cs="Times New Roman"/>
          <w:sz w:val="24"/>
          <w:szCs w:val="24"/>
        </w:rPr>
        <w:t xml:space="preserve"> обоснованно обращает внимание на необходимость адаптации правовых механизмов противодействия криминальной легализации к цифровой трансформации финансовых отношений [4].</w:t>
      </w: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b/>
          <w:sz w:val="24"/>
          <w:szCs w:val="24"/>
        </w:rPr>
        <w:t>5. Национальная и международная система оценки рисков</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lastRenderedPageBreak/>
        <w:t>Современная национальная система ПОД/ФТ/ФРОМУ основывается на сочетании нормативного регулирования, финансового мониторинга, национальной и секторальной оценки рисков, международного сотрудничества и деятельности правоохранительных органов.</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Порядок проведения национальной оценки рисков установлен Правилами, утвержденными приказом Председателя Агентства Республики Казахстан по финансовому мониторингу от 23 февраля 2022 года № 14. В 2025 году Правила были изложены в новой редакции приказом Председателя АФМ от 1 декабря 2025 года № 17 [6].</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Национальная оценка рисков не должна сводиться исключительно к количеству зарегистрированных уголовных правонарушений. Низкий показатель выявленной преступности может отражать как объективно невысокую распространенность соответствующих деяний, так и их латентность либо недостаточную эффективность выявления.</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Поэтому оценка должна учитывать не только уже выявленные факты, но и структуру угроз, степень уязвимости конкретных сфер, используемые финансовые механизмы, потенциальный масштаб преступного дохода и эффективность действующих мер.</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Национальная оценка рисков Республики Казахстан за 2021–2023 гг., опубликованная Агентством Республики Казахстан по финансовому мониторингу в 2025 году, содержит анализ </w:t>
      </w:r>
      <w:proofErr w:type="spellStart"/>
      <w:r w:rsidRPr="00FB31CF">
        <w:rPr>
          <w:rFonts w:ascii="Times New Roman" w:hAnsi="Times New Roman" w:cs="Times New Roman"/>
          <w:sz w:val="24"/>
          <w:szCs w:val="24"/>
        </w:rPr>
        <w:t>страновых</w:t>
      </w:r>
      <w:proofErr w:type="spellEnd"/>
      <w:r w:rsidRPr="00FB31CF">
        <w:rPr>
          <w:rFonts w:ascii="Times New Roman" w:hAnsi="Times New Roman" w:cs="Times New Roman"/>
          <w:sz w:val="24"/>
          <w:szCs w:val="24"/>
        </w:rPr>
        <w:t xml:space="preserve"> уязвимостей, ключевых угроз и основных способов легализации преступных доходов [7].</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Международное значение имеет взаимная оценка Республики Казахстан 2023 года, подготовленная в рамках ЕАГ/ФАТФ [10]. Ее результаты характеризуют состояние национальной системы на период проведения соответствующей оценки и поэтому должны учитываться с учетом последующих изменений законодательства и практики.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Динамику развития национальной системы позволяет оценить первый регулярный отчет ЕАГ о последующем мониторинге Республики Казахстан, принятый Пленарным заседанием ЕАГ в мае 2026 года и опубликованный 29 июня 2026 года. В результате последующей оценки рейтинги Казахстана по рекомендациям </w:t>
      </w:r>
      <w:r w:rsidR="006C291E" w:rsidRPr="00FB31CF">
        <w:rPr>
          <w:rFonts w:ascii="Times New Roman" w:hAnsi="Times New Roman" w:cs="Times New Roman"/>
          <w:sz w:val="24"/>
          <w:szCs w:val="24"/>
        </w:rPr>
        <w:t>ФАТФ</w:t>
      </w:r>
      <w:r w:rsidRPr="00FB31CF">
        <w:rPr>
          <w:rFonts w:ascii="Times New Roman" w:hAnsi="Times New Roman" w:cs="Times New Roman"/>
          <w:sz w:val="24"/>
          <w:szCs w:val="24"/>
        </w:rPr>
        <w:t xml:space="preserve"> 6, 7, 24 и 26 были повышены до уровня </w:t>
      </w:r>
      <w:proofErr w:type="spellStart"/>
      <w:r w:rsidRPr="00FB31CF">
        <w:rPr>
          <w:rFonts w:ascii="Times New Roman" w:hAnsi="Times New Roman" w:cs="Times New Roman"/>
          <w:sz w:val="24"/>
          <w:szCs w:val="24"/>
        </w:rPr>
        <w:t>Largely</w:t>
      </w:r>
      <w:proofErr w:type="spellEnd"/>
      <w:r w:rsidR="00523198" w:rsidRPr="00FB31CF">
        <w:rPr>
          <w:rFonts w:ascii="Times New Roman" w:hAnsi="Times New Roman" w:cs="Times New Roman"/>
          <w:sz w:val="24"/>
          <w:szCs w:val="24"/>
        </w:rPr>
        <w:t xml:space="preserve"> </w:t>
      </w:r>
      <w:proofErr w:type="spellStart"/>
      <w:r w:rsidRPr="00FB31CF">
        <w:rPr>
          <w:rFonts w:ascii="Times New Roman" w:hAnsi="Times New Roman" w:cs="Times New Roman"/>
          <w:sz w:val="24"/>
          <w:szCs w:val="24"/>
        </w:rPr>
        <w:t>Compliant</w:t>
      </w:r>
      <w:proofErr w:type="spellEnd"/>
      <w:r w:rsidRPr="00FB31CF">
        <w:rPr>
          <w:rFonts w:ascii="Times New Roman" w:hAnsi="Times New Roman" w:cs="Times New Roman"/>
          <w:sz w:val="24"/>
          <w:szCs w:val="24"/>
        </w:rPr>
        <w:t xml:space="preserve"> (LC), тогда как по Рекомендации 28 сохранился уровень </w:t>
      </w:r>
      <w:proofErr w:type="spellStart"/>
      <w:r w:rsidRPr="00FB31CF">
        <w:rPr>
          <w:rFonts w:ascii="Times New Roman" w:hAnsi="Times New Roman" w:cs="Times New Roman"/>
          <w:sz w:val="24"/>
          <w:szCs w:val="24"/>
        </w:rPr>
        <w:t>Partially</w:t>
      </w:r>
      <w:proofErr w:type="spellEnd"/>
      <w:r w:rsidR="00523198" w:rsidRPr="00FB31CF">
        <w:rPr>
          <w:rFonts w:ascii="Times New Roman" w:hAnsi="Times New Roman" w:cs="Times New Roman"/>
          <w:sz w:val="24"/>
          <w:szCs w:val="24"/>
        </w:rPr>
        <w:t xml:space="preserve"> </w:t>
      </w:r>
      <w:proofErr w:type="spellStart"/>
      <w:r w:rsidRPr="00FB31CF">
        <w:rPr>
          <w:rFonts w:ascii="Times New Roman" w:hAnsi="Times New Roman" w:cs="Times New Roman"/>
          <w:sz w:val="24"/>
          <w:szCs w:val="24"/>
        </w:rPr>
        <w:t>Compliant</w:t>
      </w:r>
      <w:proofErr w:type="spellEnd"/>
      <w:r w:rsidRPr="00FB31CF">
        <w:rPr>
          <w:rFonts w:ascii="Times New Roman" w:hAnsi="Times New Roman" w:cs="Times New Roman"/>
          <w:sz w:val="24"/>
          <w:szCs w:val="24"/>
        </w:rPr>
        <w:t xml:space="preserve"> (PC) [11].</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Это подтверждает необходимость рассматривать состояние национальной системы ПОД/ФТ/ФРОМУ не как статичную конструкцию, а как развивающийся механизм, реагирующий на изменение законодательства, финансовых технологий, трансграничных потоков и характера угроз.</w:t>
      </w: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b/>
          <w:sz w:val="24"/>
          <w:szCs w:val="24"/>
        </w:rPr>
        <w:t xml:space="preserve">6. Риск-ориентированный подход в стандартах </w:t>
      </w:r>
      <w:r w:rsidR="006C291E" w:rsidRPr="00FB31CF">
        <w:rPr>
          <w:rFonts w:ascii="Times New Roman" w:hAnsi="Times New Roman" w:cs="Times New Roman"/>
          <w:b/>
          <w:sz w:val="24"/>
          <w:szCs w:val="24"/>
        </w:rPr>
        <w:t>ФАТФ</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Риск-ориентированный подход является одним из фундаментальных принципов международной системы противодействия отмыванию денег и финансированию терроризма.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В феврале 2025 года </w:t>
      </w:r>
      <w:r w:rsidR="006C291E" w:rsidRPr="00FB31CF">
        <w:rPr>
          <w:rFonts w:ascii="Times New Roman" w:hAnsi="Times New Roman" w:cs="Times New Roman"/>
          <w:sz w:val="24"/>
          <w:szCs w:val="24"/>
        </w:rPr>
        <w:t>ФАТФ</w:t>
      </w:r>
      <w:r w:rsidRPr="00FB31CF">
        <w:rPr>
          <w:rFonts w:ascii="Times New Roman" w:hAnsi="Times New Roman" w:cs="Times New Roman"/>
          <w:sz w:val="24"/>
          <w:szCs w:val="24"/>
        </w:rPr>
        <w:t xml:space="preserve"> внесла изменения в Рекомендацию 1 и связанные с ней </w:t>
      </w:r>
      <w:proofErr w:type="spellStart"/>
      <w:r w:rsidRPr="00FB31CF">
        <w:rPr>
          <w:rFonts w:ascii="Times New Roman" w:hAnsi="Times New Roman" w:cs="Times New Roman"/>
          <w:sz w:val="24"/>
          <w:szCs w:val="24"/>
        </w:rPr>
        <w:t>интерпретативные</w:t>
      </w:r>
      <w:proofErr w:type="spellEnd"/>
      <w:r w:rsidRPr="00FB31CF">
        <w:rPr>
          <w:rFonts w:ascii="Times New Roman" w:hAnsi="Times New Roman" w:cs="Times New Roman"/>
          <w:sz w:val="24"/>
          <w:szCs w:val="24"/>
        </w:rPr>
        <w:t xml:space="preserve"> примечания. Изменения усилили акцент на пропорциональности применяемых мер и предусмотрели необходимость разрешать и поощрять применение упрощенных мер в сферах с более низким уровнем риска [12].</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Для национальной системы это имеет принципиальное значение. Риск-ориентированный подход не означает автоматического усиления контроля в отношении каждого участника экономического оборота. Напротив, интенсивность превентивных мер должна соотноситься с выявленным уровнем риска.</w:t>
      </w:r>
    </w:p>
    <w:p w:rsidR="00BA26EA" w:rsidRPr="00FB31CF" w:rsidRDefault="00BA26EA" w:rsidP="00FB31CF">
      <w:pPr>
        <w:pStyle w:val="a3"/>
        <w:ind w:firstLine="426"/>
        <w:jc w:val="both"/>
        <w:rPr>
          <w:rFonts w:ascii="Times New Roman" w:hAnsi="Times New Roman" w:cs="Times New Roman"/>
          <w:i/>
          <w:sz w:val="24"/>
          <w:szCs w:val="24"/>
        </w:rPr>
      </w:pPr>
      <w:r w:rsidRPr="00FB31CF">
        <w:rPr>
          <w:rFonts w:ascii="Times New Roman" w:hAnsi="Times New Roman" w:cs="Times New Roman"/>
          <w:sz w:val="24"/>
          <w:szCs w:val="24"/>
        </w:rPr>
        <w:t xml:space="preserve">В обобщенном виде процесс может быть представлен следующим образом: </w:t>
      </w:r>
      <w:r w:rsidRPr="00FB31CF">
        <w:rPr>
          <w:rFonts w:ascii="Times New Roman" w:hAnsi="Times New Roman" w:cs="Times New Roman"/>
          <w:i/>
          <w:sz w:val="24"/>
          <w:szCs w:val="24"/>
        </w:rPr>
        <w:t>выявление угроз → установление уязвимостей → оценка вероятности реализации риска → определение возможных последствий → выбор соразмерных мер реагирования → повторная оценка риска.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Такой подход позволяет избежать двух противоположных ошибок: недостаточного реагирования на действительно высокий риск и чрезмерного контроля субъектов и операций, не обладающих существенными рисковыми характеристиками.</w:t>
      </w: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b/>
          <w:sz w:val="24"/>
          <w:szCs w:val="24"/>
        </w:rPr>
        <w:lastRenderedPageBreak/>
        <w:t>7. Авторская модель комплексной оценки риска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Проведенный анализ позволяет предложить многофакторную модель оценки риска легализации преступных доходов.</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В качестве основных факторов предлагается учитывать:</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1. источник преступного дохода — характер предикатного уголовного правонарушения и происхождение имущества;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2. экономический сектор — финансовый, недвижимый, корпоративный, торговый, цифровой и другие секторы;</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3. финансовый механизм — банковская операция, перевод, конверсия, наличный расчет, цифровая транзакция и иной способ перемещения стоимости;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4. характеристики субъекта — статус, характер деятельности, структура собственности, </w:t>
      </w:r>
      <w:proofErr w:type="spellStart"/>
      <w:r w:rsidRPr="00FB31CF">
        <w:rPr>
          <w:rFonts w:ascii="Times New Roman" w:hAnsi="Times New Roman" w:cs="Times New Roman"/>
          <w:sz w:val="24"/>
          <w:szCs w:val="24"/>
        </w:rPr>
        <w:t>бенефициарное</w:t>
      </w:r>
      <w:proofErr w:type="spellEnd"/>
      <w:r w:rsidRPr="00FB31CF">
        <w:rPr>
          <w:rFonts w:ascii="Times New Roman" w:hAnsi="Times New Roman" w:cs="Times New Roman"/>
          <w:sz w:val="24"/>
          <w:szCs w:val="24"/>
        </w:rPr>
        <w:t xml:space="preserve"> владение и деловые связи;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5. географический фактор — внутренняя либо трансграничная направленность операции;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6. цифровой фактор — использование цифровых активов и цифровых финансовых инструментов;</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7. институциональная уязвимость — степень прозрачности соответствующей сферы и эффективность механизмов контроля;</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8. масштаб потенциального преступного дохода;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9. вероятность реализации риска;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10. потенциальные последствия для финансовой системы и экономики;</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11. эффективность механизмов реагирования;</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12. результаты финансового мониторинга и финансовых расследований.</w:t>
      </w:r>
    </w:p>
    <w:p w:rsidR="00BA26EA" w:rsidRPr="00FB31CF" w:rsidRDefault="00BA26EA" w:rsidP="00FB31CF">
      <w:pPr>
        <w:pStyle w:val="a3"/>
        <w:ind w:firstLine="426"/>
        <w:jc w:val="both"/>
        <w:rPr>
          <w:rFonts w:ascii="Times New Roman" w:hAnsi="Times New Roman" w:cs="Times New Roman"/>
          <w:i/>
          <w:sz w:val="24"/>
          <w:szCs w:val="24"/>
        </w:rPr>
      </w:pPr>
      <w:r w:rsidRPr="00FB31CF">
        <w:rPr>
          <w:rFonts w:ascii="Times New Roman" w:hAnsi="Times New Roman" w:cs="Times New Roman"/>
          <w:sz w:val="24"/>
          <w:szCs w:val="24"/>
        </w:rPr>
        <w:tab/>
        <w:t xml:space="preserve">Модель может быть представлена в следующем виде: </w:t>
      </w:r>
      <w:r w:rsidRPr="00FB31CF">
        <w:rPr>
          <w:rFonts w:ascii="Times New Roman" w:hAnsi="Times New Roman" w:cs="Times New Roman"/>
          <w:i/>
          <w:sz w:val="24"/>
          <w:szCs w:val="24"/>
        </w:rPr>
        <w:t>угроза → источник преступного дохода → уязвимая сфера → финансовый механизм → субъект → географический/цифровой фактор → вероятность реализации → последствия → меры реагирования → повторная оценка риска.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Предлагаемая модель развивает официальную логику национальной оценки рисков. В отличие от простого фиксирования отдельных угроз или уязвимостей, она позволяет рассматривать их во взаимосвязи с конкретным финансовым механизмом, характеристиками участников и эффективностью реагирования.</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Особенность модели заключается в ее динамическом характере. Уровень риска конкретного субъекта, сектора или финансового инструмента может изменяться вследствие изменения поведения участников, законодательства, финансовых технологий, международных финансовых потоков и эффективности государственного контроля.</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ab/>
        <w:t>Тем самым риск-ориентированный анализ позволяет учитывать не только реализованный риск, проявившийся в выявленном уголовном правонарушении, но и наличие условий, при которых преступный капитал потенциально способен проникнуть в легальный экономический оборот.</w:t>
      </w:r>
    </w:p>
    <w:p w:rsidR="00BA26EA" w:rsidRPr="00FB31CF" w:rsidRDefault="00BA26EA" w:rsidP="00FB31CF">
      <w:pPr>
        <w:pStyle w:val="a3"/>
        <w:ind w:firstLine="426"/>
        <w:jc w:val="both"/>
        <w:rPr>
          <w:rFonts w:ascii="Times New Roman" w:hAnsi="Times New Roman" w:cs="Times New Roman"/>
          <w:b/>
          <w:sz w:val="24"/>
          <w:szCs w:val="24"/>
        </w:rPr>
      </w:pPr>
      <w:r w:rsidRPr="00FB31CF">
        <w:rPr>
          <w:rFonts w:ascii="Times New Roman" w:hAnsi="Times New Roman" w:cs="Times New Roman"/>
          <w:b/>
          <w:sz w:val="24"/>
          <w:szCs w:val="24"/>
        </w:rPr>
        <w:t>Заключение</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Проведенное исследование позволяет сформулировать следующие выводы.</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Во-первых, объект уголовного правонарушения и объект риска являются различными по содержанию и назначению категориями. Первый характеризует общественные отношения, охраняемые уголовным законом и нарушаемые конкретным уголовным правонарушением; второй характеризует финансовую, экономическую, организационную, цифровую либо иную среду, обладающую определенной уязвимостью.</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Во-вторых, субъект уголовного правонарушения, субъект финансового мониторинга и субъект риска также не являются тождественными понятиями. Субъект риска определяется через потенциальную подверженность его деятельности, операций или экономических связей риску легализации преступных доходов и не может автоматически рассматриваться как нарушитель закона.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В-третьих, риск легализации преступных доходов целесообразно рассматривать как динамическое состояние определенной экономической среды. Его содержание определяется </w:t>
      </w:r>
      <w:r w:rsidRPr="00FB31CF">
        <w:rPr>
          <w:rFonts w:ascii="Times New Roman" w:hAnsi="Times New Roman" w:cs="Times New Roman"/>
          <w:sz w:val="24"/>
          <w:szCs w:val="24"/>
        </w:rPr>
        <w:lastRenderedPageBreak/>
        <w:t>сочетанием угрозы, уязвимости, финансового механизма, характеристик участников, географических и цифровых факторов, вероятности реализации, возможных последствий и эффективности мер реагирования.</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В-четвертых, официальное понимание риска в системе национальной оценки Республики Казахстан основано на взаимосвязи угроз и уязвимостей и ориентировано на выявление возможного ущерба финансовой системе и экономике. Предлагаемая авторами конструкция развивает этот подход, дополняя его учетом механизма реализации риска и эффективности предупредительных и ответных мер.</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В-пятых, количество зарегистрированных уголовных правонарушений не может рассматриваться в качестве единственного показателя уровня риска. Объективная оценка требует учета латентности, характера угроз, уязвимости соответствующего сектора, используемых финансовых механизмов, потенциального масштаба преступного дохода и эффективности его выявления.</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В-шестых, предложенная многофакторная модель позволяет объединить уголовно-правовой, финансово-правовой, криминологический и институциональный уровни анализа. Ее применение ориентирует систему противодействия не только на ретроспективное реагирование на уже совершенные деяния, но и на своевременное выявление условий, способствующих проникновению преступного капитала в легальную экономику.</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Научная новизна исследования состоит в авторском определении риска легализации преступных доходов, теоретическом разграничении объекта и субъекта риска с соответствующими уголовно-правовыми категориями, а также в разработке многофакторной модели комплексной оценки риска.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Практическая значимость предложенного подхода заключается в возможности его использования при совершенствовании риск-ориентированного финансового мониторинга, проведении секторальных оценок риска, анализе подозрительных операций и определении приоритетных направлений финансовых расследований.</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Дальнейшее развитие риск-ориентированного подхода в Республике Казахстан целесообразно связывать с интеграцией данных финансового мониторинга, информации о </w:t>
      </w:r>
      <w:proofErr w:type="spellStart"/>
      <w:r w:rsidRPr="00FB31CF">
        <w:rPr>
          <w:rFonts w:ascii="Times New Roman" w:hAnsi="Times New Roman" w:cs="Times New Roman"/>
          <w:sz w:val="24"/>
          <w:szCs w:val="24"/>
        </w:rPr>
        <w:t>бенефициарном</w:t>
      </w:r>
      <w:proofErr w:type="spellEnd"/>
      <w:r w:rsidRPr="00FB31CF">
        <w:rPr>
          <w:rFonts w:ascii="Times New Roman" w:hAnsi="Times New Roman" w:cs="Times New Roman"/>
          <w:sz w:val="24"/>
          <w:szCs w:val="24"/>
        </w:rPr>
        <w:t xml:space="preserve"> владении, результатов финансовых расследований, сведений о трансграничных операциях и операциях с цифровыми активами в систему динамической оценки риска.</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Таким образом, эффективность противодействия легализации преступных доходов определяется не только способностью государства выявлять совершенные уголовные правонарушения, но и возможностью своевременно устанавливать изменяющиеся угрозы, выявлять уязвимые сферы и применять соразмерные риску меры предупреждения, финансового мониторинга, расследования, ареста, конфискации и возврата преступных активов.</w:t>
      </w:r>
    </w:p>
    <w:p w:rsidR="00BA26EA" w:rsidRPr="00FB31CF" w:rsidRDefault="00BA26EA" w:rsidP="00FB31CF">
      <w:pPr>
        <w:pStyle w:val="a3"/>
        <w:jc w:val="center"/>
        <w:rPr>
          <w:rFonts w:ascii="Times New Roman" w:hAnsi="Times New Roman" w:cs="Times New Roman"/>
          <w:b/>
          <w:sz w:val="24"/>
          <w:szCs w:val="24"/>
        </w:rPr>
      </w:pPr>
      <w:r w:rsidRPr="00FB31CF">
        <w:rPr>
          <w:rFonts w:ascii="Times New Roman" w:hAnsi="Times New Roman" w:cs="Times New Roman"/>
          <w:b/>
          <w:sz w:val="24"/>
          <w:szCs w:val="24"/>
        </w:rPr>
        <w:t>Список литературы</w:t>
      </w:r>
    </w:p>
    <w:p w:rsidR="00BA26EA" w:rsidRPr="00FB31CF" w:rsidRDefault="00BA26EA" w:rsidP="00FB31CF">
      <w:pPr>
        <w:pStyle w:val="a3"/>
        <w:ind w:firstLine="426"/>
        <w:jc w:val="both"/>
        <w:rPr>
          <w:rFonts w:ascii="Times New Roman" w:hAnsi="Times New Roman" w:cs="Times New Roman"/>
          <w:sz w:val="24"/>
          <w:szCs w:val="24"/>
        </w:rPr>
      </w:pP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1. </w:t>
      </w:r>
      <w:proofErr w:type="spellStart"/>
      <w:r w:rsidRPr="00FB31CF">
        <w:rPr>
          <w:rFonts w:ascii="Times New Roman" w:hAnsi="Times New Roman" w:cs="Times New Roman"/>
          <w:sz w:val="24"/>
          <w:szCs w:val="24"/>
        </w:rPr>
        <w:t>Нугманов</w:t>
      </w:r>
      <w:proofErr w:type="spellEnd"/>
      <w:r w:rsidRPr="00FB31CF">
        <w:rPr>
          <w:rFonts w:ascii="Times New Roman" w:hAnsi="Times New Roman" w:cs="Times New Roman"/>
          <w:sz w:val="24"/>
          <w:szCs w:val="24"/>
        </w:rPr>
        <w:t xml:space="preserve"> Р.Р. Проблемы противодействия легализации (отмыванию) преступных доходов в Республике Казахстан // Құқыққорғауоргандарыакадемиясыныңжаршысы. — 2018. — № 3 (9). — С. 20–27.</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2. Татаринова Л.Ф., Татаринов Д.В. Особенности правовой природы финансового мониторинга в сфере противодействия легализации преступных доходов по законодательству Республики Казахстан // Вестник Университета «Туран». — 2017. — № 2 (74). — С. 276–280.</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3. Сидорова</w:t>
      </w:r>
      <w:r w:rsidR="00523198" w:rsidRPr="00FB31CF">
        <w:rPr>
          <w:rFonts w:ascii="Times New Roman" w:hAnsi="Times New Roman" w:cs="Times New Roman"/>
          <w:sz w:val="24"/>
          <w:szCs w:val="24"/>
        </w:rPr>
        <w:t xml:space="preserve"> </w:t>
      </w:r>
      <w:r w:rsidRPr="00FB31CF">
        <w:rPr>
          <w:rFonts w:ascii="Times New Roman" w:hAnsi="Times New Roman" w:cs="Times New Roman"/>
          <w:sz w:val="24"/>
          <w:szCs w:val="24"/>
        </w:rPr>
        <w:t xml:space="preserve">Н.В., </w:t>
      </w:r>
      <w:proofErr w:type="spellStart"/>
      <w:r w:rsidRPr="00FB31CF">
        <w:rPr>
          <w:rFonts w:ascii="Times New Roman" w:hAnsi="Times New Roman" w:cs="Times New Roman"/>
          <w:sz w:val="24"/>
          <w:szCs w:val="24"/>
        </w:rPr>
        <w:t>Кусаинова</w:t>
      </w:r>
      <w:proofErr w:type="spellEnd"/>
      <w:r w:rsidR="00523198" w:rsidRPr="00FB31CF">
        <w:rPr>
          <w:rFonts w:ascii="Times New Roman" w:hAnsi="Times New Roman" w:cs="Times New Roman"/>
          <w:sz w:val="24"/>
          <w:szCs w:val="24"/>
        </w:rPr>
        <w:t xml:space="preserve"> </w:t>
      </w:r>
      <w:r w:rsidRPr="00FB31CF">
        <w:rPr>
          <w:rFonts w:ascii="Times New Roman" w:hAnsi="Times New Roman" w:cs="Times New Roman"/>
          <w:sz w:val="24"/>
          <w:szCs w:val="24"/>
        </w:rPr>
        <w:t xml:space="preserve">Л.К., </w:t>
      </w:r>
      <w:proofErr w:type="spellStart"/>
      <w:r w:rsidRPr="00FB31CF">
        <w:rPr>
          <w:rFonts w:ascii="Times New Roman" w:hAnsi="Times New Roman" w:cs="Times New Roman"/>
          <w:sz w:val="24"/>
          <w:szCs w:val="24"/>
        </w:rPr>
        <w:t>Избасова</w:t>
      </w:r>
      <w:proofErr w:type="spellEnd"/>
      <w:r w:rsidR="00523198" w:rsidRPr="00FB31CF">
        <w:rPr>
          <w:rFonts w:ascii="Times New Roman" w:hAnsi="Times New Roman" w:cs="Times New Roman"/>
          <w:sz w:val="24"/>
          <w:szCs w:val="24"/>
        </w:rPr>
        <w:t xml:space="preserve"> </w:t>
      </w:r>
      <w:r w:rsidRPr="00FB31CF">
        <w:rPr>
          <w:rFonts w:ascii="Times New Roman" w:hAnsi="Times New Roman" w:cs="Times New Roman"/>
          <w:sz w:val="24"/>
          <w:szCs w:val="24"/>
        </w:rPr>
        <w:t xml:space="preserve">А.Б., </w:t>
      </w:r>
      <w:proofErr w:type="spellStart"/>
      <w:r w:rsidRPr="00FB31CF">
        <w:rPr>
          <w:rFonts w:ascii="Times New Roman" w:hAnsi="Times New Roman" w:cs="Times New Roman"/>
          <w:sz w:val="24"/>
          <w:szCs w:val="24"/>
        </w:rPr>
        <w:t>Арын</w:t>
      </w:r>
      <w:proofErr w:type="spellEnd"/>
      <w:r w:rsidR="00523198" w:rsidRPr="00FB31CF">
        <w:rPr>
          <w:rFonts w:ascii="Times New Roman" w:hAnsi="Times New Roman" w:cs="Times New Roman"/>
          <w:sz w:val="24"/>
          <w:szCs w:val="24"/>
        </w:rPr>
        <w:t xml:space="preserve"> </w:t>
      </w:r>
      <w:r w:rsidRPr="00FB31CF">
        <w:rPr>
          <w:rFonts w:ascii="Times New Roman" w:hAnsi="Times New Roman" w:cs="Times New Roman"/>
          <w:sz w:val="24"/>
          <w:szCs w:val="24"/>
        </w:rPr>
        <w:t>А.А., Кан</w:t>
      </w:r>
      <w:r w:rsidR="00523198" w:rsidRPr="00FB31CF">
        <w:rPr>
          <w:rFonts w:ascii="Times New Roman" w:hAnsi="Times New Roman" w:cs="Times New Roman"/>
          <w:sz w:val="24"/>
          <w:szCs w:val="24"/>
        </w:rPr>
        <w:t xml:space="preserve"> </w:t>
      </w:r>
      <w:r w:rsidRPr="00FB31CF">
        <w:rPr>
          <w:rFonts w:ascii="Times New Roman" w:hAnsi="Times New Roman" w:cs="Times New Roman"/>
          <w:sz w:val="24"/>
          <w:szCs w:val="24"/>
        </w:rPr>
        <w:t>А.Г. Международное</w:t>
      </w:r>
      <w:r w:rsidR="00523198" w:rsidRPr="00FB31CF">
        <w:rPr>
          <w:rFonts w:ascii="Times New Roman" w:hAnsi="Times New Roman" w:cs="Times New Roman"/>
          <w:sz w:val="24"/>
          <w:szCs w:val="24"/>
        </w:rPr>
        <w:t xml:space="preserve"> </w:t>
      </w:r>
      <w:r w:rsidRPr="00FB31CF">
        <w:rPr>
          <w:rFonts w:ascii="Times New Roman" w:hAnsi="Times New Roman" w:cs="Times New Roman"/>
          <w:sz w:val="24"/>
          <w:szCs w:val="24"/>
        </w:rPr>
        <w:t>сотрудничество</w:t>
      </w:r>
      <w:r w:rsidR="00523198" w:rsidRPr="00FB31CF">
        <w:rPr>
          <w:rFonts w:ascii="Times New Roman" w:hAnsi="Times New Roman" w:cs="Times New Roman"/>
          <w:sz w:val="24"/>
          <w:szCs w:val="24"/>
        </w:rPr>
        <w:t xml:space="preserve"> </w:t>
      </w:r>
      <w:r w:rsidRPr="00FB31CF">
        <w:rPr>
          <w:rFonts w:ascii="Times New Roman" w:hAnsi="Times New Roman" w:cs="Times New Roman"/>
          <w:sz w:val="24"/>
          <w:szCs w:val="24"/>
        </w:rPr>
        <w:t>в</w:t>
      </w:r>
      <w:r w:rsidR="00523198" w:rsidRPr="00FB31CF">
        <w:rPr>
          <w:rFonts w:ascii="Times New Roman" w:hAnsi="Times New Roman" w:cs="Times New Roman"/>
          <w:sz w:val="24"/>
          <w:szCs w:val="24"/>
        </w:rPr>
        <w:t xml:space="preserve"> </w:t>
      </w:r>
      <w:r w:rsidRPr="00FB31CF">
        <w:rPr>
          <w:rFonts w:ascii="Times New Roman" w:hAnsi="Times New Roman" w:cs="Times New Roman"/>
          <w:sz w:val="24"/>
          <w:szCs w:val="24"/>
        </w:rPr>
        <w:t>противодействии</w:t>
      </w:r>
      <w:r w:rsidR="00523198" w:rsidRPr="00FB31CF">
        <w:rPr>
          <w:rFonts w:ascii="Times New Roman" w:hAnsi="Times New Roman" w:cs="Times New Roman"/>
          <w:sz w:val="24"/>
          <w:szCs w:val="24"/>
        </w:rPr>
        <w:t xml:space="preserve"> </w:t>
      </w:r>
      <w:r w:rsidRPr="00FB31CF">
        <w:rPr>
          <w:rFonts w:ascii="Times New Roman" w:hAnsi="Times New Roman" w:cs="Times New Roman"/>
          <w:sz w:val="24"/>
          <w:szCs w:val="24"/>
        </w:rPr>
        <w:t>легализации</w:t>
      </w:r>
      <w:r w:rsidR="00523198" w:rsidRPr="00FB31CF">
        <w:rPr>
          <w:rFonts w:ascii="Times New Roman" w:hAnsi="Times New Roman" w:cs="Times New Roman"/>
          <w:sz w:val="24"/>
          <w:szCs w:val="24"/>
        </w:rPr>
        <w:t xml:space="preserve"> </w:t>
      </w:r>
      <w:r w:rsidRPr="00FB31CF">
        <w:rPr>
          <w:rFonts w:ascii="Times New Roman" w:hAnsi="Times New Roman" w:cs="Times New Roman"/>
          <w:sz w:val="24"/>
          <w:szCs w:val="24"/>
        </w:rPr>
        <w:t>незаконных</w:t>
      </w:r>
      <w:r w:rsidR="00523198" w:rsidRPr="00FB31CF">
        <w:rPr>
          <w:rFonts w:ascii="Times New Roman" w:hAnsi="Times New Roman" w:cs="Times New Roman"/>
          <w:sz w:val="24"/>
          <w:szCs w:val="24"/>
        </w:rPr>
        <w:t xml:space="preserve"> </w:t>
      </w:r>
      <w:r w:rsidRPr="00FB31CF">
        <w:rPr>
          <w:rFonts w:ascii="Times New Roman" w:hAnsi="Times New Roman" w:cs="Times New Roman"/>
          <w:sz w:val="24"/>
          <w:szCs w:val="24"/>
        </w:rPr>
        <w:t xml:space="preserve">доходов // </w:t>
      </w:r>
      <w:r w:rsidRPr="00FB31CF">
        <w:rPr>
          <w:rFonts w:ascii="Times New Roman" w:hAnsi="Times New Roman" w:cs="Times New Roman"/>
          <w:sz w:val="24"/>
          <w:szCs w:val="24"/>
          <w:lang w:val="en-US"/>
        </w:rPr>
        <w:t>JournalofActualProblemsofJurisprudence</w:t>
      </w:r>
      <w:r w:rsidRPr="00FB31CF">
        <w:rPr>
          <w:rFonts w:ascii="Times New Roman" w:hAnsi="Times New Roman" w:cs="Times New Roman"/>
          <w:sz w:val="24"/>
          <w:szCs w:val="24"/>
        </w:rPr>
        <w:t xml:space="preserve">. — 2024. — Т. 109. — № 1. — С. 162–171. — </w:t>
      </w:r>
      <w:r w:rsidRPr="00FB31CF">
        <w:rPr>
          <w:rFonts w:ascii="Times New Roman" w:hAnsi="Times New Roman" w:cs="Times New Roman"/>
          <w:sz w:val="24"/>
          <w:szCs w:val="24"/>
          <w:lang w:val="en-US"/>
        </w:rPr>
        <w:t>DOI</w:t>
      </w:r>
      <w:r w:rsidRPr="00FB31CF">
        <w:rPr>
          <w:rFonts w:ascii="Times New Roman" w:hAnsi="Times New Roman" w:cs="Times New Roman"/>
          <w:sz w:val="24"/>
          <w:szCs w:val="24"/>
        </w:rPr>
        <w:t>: 10.26577/</w:t>
      </w:r>
      <w:r w:rsidRPr="00FB31CF">
        <w:rPr>
          <w:rFonts w:ascii="Times New Roman" w:hAnsi="Times New Roman" w:cs="Times New Roman"/>
          <w:sz w:val="24"/>
          <w:szCs w:val="24"/>
          <w:lang w:val="en-US"/>
        </w:rPr>
        <w:t>JAPJ</w:t>
      </w:r>
      <w:r w:rsidRPr="00FB31CF">
        <w:rPr>
          <w:rFonts w:ascii="Times New Roman" w:hAnsi="Times New Roman" w:cs="Times New Roman"/>
          <w:sz w:val="24"/>
          <w:szCs w:val="24"/>
        </w:rPr>
        <w:t>2024109116.</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4. </w:t>
      </w:r>
      <w:proofErr w:type="spellStart"/>
      <w:r w:rsidRPr="00FB31CF">
        <w:rPr>
          <w:rFonts w:ascii="Times New Roman" w:hAnsi="Times New Roman" w:cs="Times New Roman"/>
          <w:sz w:val="24"/>
          <w:szCs w:val="24"/>
        </w:rPr>
        <w:t>Еркенов</w:t>
      </w:r>
      <w:proofErr w:type="spellEnd"/>
      <w:r w:rsidRPr="00FB31CF">
        <w:rPr>
          <w:rFonts w:ascii="Times New Roman" w:hAnsi="Times New Roman" w:cs="Times New Roman"/>
          <w:sz w:val="24"/>
          <w:szCs w:val="24"/>
        </w:rPr>
        <w:t xml:space="preserve"> Б.Д. Правовые инструменты противодействия криминальной легализации (отмыванию) в условиях цифрового развития Республики Казахстан // </w:t>
      </w:r>
      <w:proofErr w:type="spellStart"/>
      <w:r w:rsidRPr="00FB31CF">
        <w:rPr>
          <w:rFonts w:ascii="Times New Roman" w:hAnsi="Times New Roman" w:cs="Times New Roman"/>
          <w:sz w:val="24"/>
          <w:szCs w:val="24"/>
        </w:rPr>
        <w:t>Journal</w:t>
      </w:r>
      <w:proofErr w:type="spellEnd"/>
      <w:r w:rsidR="00523198" w:rsidRPr="00FB31CF">
        <w:rPr>
          <w:rFonts w:ascii="Times New Roman" w:hAnsi="Times New Roman" w:cs="Times New Roman"/>
          <w:sz w:val="24"/>
          <w:szCs w:val="24"/>
        </w:rPr>
        <w:t xml:space="preserve"> </w:t>
      </w:r>
      <w:proofErr w:type="spellStart"/>
      <w:r w:rsidRPr="00FB31CF">
        <w:rPr>
          <w:rFonts w:ascii="Times New Roman" w:hAnsi="Times New Roman" w:cs="Times New Roman"/>
          <w:sz w:val="24"/>
          <w:szCs w:val="24"/>
        </w:rPr>
        <w:t>of</w:t>
      </w:r>
      <w:proofErr w:type="spellEnd"/>
      <w:r w:rsidR="00523198" w:rsidRPr="00FB31CF">
        <w:rPr>
          <w:rFonts w:ascii="Times New Roman" w:hAnsi="Times New Roman" w:cs="Times New Roman"/>
          <w:sz w:val="24"/>
          <w:szCs w:val="24"/>
        </w:rPr>
        <w:t xml:space="preserve"> </w:t>
      </w:r>
      <w:proofErr w:type="spellStart"/>
      <w:r w:rsidRPr="00FB31CF">
        <w:rPr>
          <w:rFonts w:ascii="Times New Roman" w:hAnsi="Times New Roman" w:cs="Times New Roman"/>
          <w:sz w:val="24"/>
          <w:szCs w:val="24"/>
        </w:rPr>
        <w:t>Actual</w:t>
      </w:r>
      <w:proofErr w:type="spellEnd"/>
      <w:r w:rsidR="00523198" w:rsidRPr="00FB31CF">
        <w:rPr>
          <w:rFonts w:ascii="Times New Roman" w:hAnsi="Times New Roman" w:cs="Times New Roman"/>
          <w:sz w:val="24"/>
          <w:szCs w:val="24"/>
        </w:rPr>
        <w:t xml:space="preserve"> </w:t>
      </w:r>
      <w:proofErr w:type="spellStart"/>
      <w:r w:rsidRPr="00FB31CF">
        <w:rPr>
          <w:rFonts w:ascii="Times New Roman" w:hAnsi="Times New Roman" w:cs="Times New Roman"/>
          <w:sz w:val="24"/>
          <w:szCs w:val="24"/>
        </w:rPr>
        <w:lastRenderedPageBreak/>
        <w:t>Problems</w:t>
      </w:r>
      <w:proofErr w:type="spellEnd"/>
      <w:r w:rsidR="00523198" w:rsidRPr="00FB31CF">
        <w:rPr>
          <w:rFonts w:ascii="Times New Roman" w:hAnsi="Times New Roman" w:cs="Times New Roman"/>
          <w:sz w:val="24"/>
          <w:szCs w:val="24"/>
        </w:rPr>
        <w:t xml:space="preserve"> </w:t>
      </w:r>
      <w:proofErr w:type="spellStart"/>
      <w:r w:rsidRPr="00FB31CF">
        <w:rPr>
          <w:rFonts w:ascii="Times New Roman" w:hAnsi="Times New Roman" w:cs="Times New Roman"/>
          <w:sz w:val="24"/>
          <w:szCs w:val="24"/>
        </w:rPr>
        <w:t>of</w:t>
      </w:r>
      <w:proofErr w:type="spellEnd"/>
      <w:r w:rsidR="00523198" w:rsidRPr="00FB31CF">
        <w:rPr>
          <w:rFonts w:ascii="Times New Roman" w:hAnsi="Times New Roman" w:cs="Times New Roman"/>
          <w:sz w:val="24"/>
          <w:szCs w:val="24"/>
        </w:rPr>
        <w:t xml:space="preserve"> </w:t>
      </w:r>
      <w:proofErr w:type="spellStart"/>
      <w:r w:rsidRPr="00FB31CF">
        <w:rPr>
          <w:rFonts w:ascii="Times New Roman" w:hAnsi="Times New Roman" w:cs="Times New Roman"/>
          <w:sz w:val="24"/>
          <w:szCs w:val="24"/>
        </w:rPr>
        <w:t>Jurisprudence</w:t>
      </w:r>
      <w:proofErr w:type="spellEnd"/>
      <w:r w:rsidRPr="00FB31CF">
        <w:rPr>
          <w:rFonts w:ascii="Times New Roman" w:hAnsi="Times New Roman" w:cs="Times New Roman"/>
          <w:sz w:val="24"/>
          <w:szCs w:val="24"/>
        </w:rPr>
        <w:t>. — 2024. — Т. 111. — № 3. — С. 119–128. — DOI: 10.26577/JAPJ2024-111-i3-013.</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 xml:space="preserve">5. </w:t>
      </w:r>
      <w:proofErr w:type="spellStart"/>
      <w:r w:rsidRPr="00FB31CF">
        <w:rPr>
          <w:rFonts w:ascii="Times New Roman" w:hAnsi="Times New Roman" w:cs="Times New Roman"/>
          <w:sz w:val="24"/>
          <w:szCs w:val="24"/>
        </w:rPr>
        <w:t>Еркенов</w:t>
      </w:r>
      <w:proofErr w:type="spellEnd"/>
      <w:r w:rsidRPr="00FB31CF">
        <w:rPr>
          <w:rFonts w:ascii="Times New Roman" w:hAnsi="Times New Roman" w:cs="Times New Roman"/>
          <w:sz w:val="24"/>
          <w:szCs w:val="24"/>
        </w:rPr>
        <w:t xml:space="preserve"> Б.Д., </w:t>
      </w:r>
      <w:proofErr w:type="spellStart"/>
      <w:r w:rsidRPr="00FB31CF">
        <w:rPr>
          <w:rFonts w:ascii="Times New Roman" w:hAnsi="Times New Roman" w:cs="Times New Roman"/>
          <w:sz w:val="24"/>
          <w:szCs w:val="24"/>
        </w:rPr>
        <w:t>Бимолданов</w:t>
      </w:r>
      <w:proofErr w:type="spellEnd"/>
      <w:r w:rsidRPr="00FB31CF">
        <w:rPr>
          <w:rFonts w:ascii="Times New Roman" w:hAnsi="Times New Roman" w:cs="Times New Roman"/>
          <w:sz w:val="24"/>
          <w:szCs w:val="24"/>
        </w:rPr>
        <w:t xml:space="preserve"> Е.М. Конверсионные сделки в системе противодействия отмыванию преступных доходов: правовые коллизии и пути совершенствования законодательства Казахстана // Вестник Академии правоохранительных органов. — 2025. — № 1 (35). — С. 134–142. — DOI: 10.52425/25187252_2025_35_134.</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6. Об утверждении Правил проведения национальной оценки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приказ Председателя Агентства Республики Казахстан по финансовому мониторингу от 23 февраля 2022 года № 14, в редакции приказа Председателя Агентства Республики Казахстан по финансовому мониторингу от 1 декабря 2025 года № 17.</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7. Агентство Республики Казахстан по финансовому мониторингу. Национальная оценка рисков легализации (отмывания) преступных доходов за 2021–2023 гг. Публичная версия. — Казахстан, 2025.</w:t>
      </w:r>
    </w:p>
    <w:p w:rsidR="00BA26EA" w:rsidRPr="00FB31CF" w:rsidRDefault="00BA26EA" w:rsidP="00FB31CF">
      <w:pPr>
        <w:pStyle w:val="a3"/>
        <w:ind w:firstLine="426"/>
        <w:jc w:val="both"/>
        <w:rPr>
          <w:rFonts w:ascii="Times New Roman" w:hAnsi="Times New Roman" w:cs="Times New Roman"/>
          <w:sz w:val="24"/>
          <w:szCs w:val="24"/>
        </w:rPr>
      </w:pPr>
      <w:r w:rsidRPr="00FB31CF">
        <w:rPr>
          <w:rFonts w:ascii="Times New Roman" w:hAnsi="Times New Roman" w:cs="Times New Roman"/>
          <w:sz w:val="24"/>
          <w:szCs w:val="24"/>
        </w:rPr>
        <w:t>8. Уголовный кодекс Республики Казахстан от 3 июля 2014 года № 226-V ЗРК. Действующая редакция.</w:t>
      </w:r>
    </w:p>
    <w:p w:rsidR="00BA26EA" w:rsidRPr="00FB31CF" w:rsidRDefault="00BA26EA" w:rsidP="00FB31CF">
      <w:pPr>
        <w:pStyle w:val="a3"/>
        <w:ind w:firstLine="426"/>
        <w:jc w:val="both"/>
        <w:rPr>
          <w:rFonts w:ascii="Times New Roman" w:hAnsi="Times New Roman" w:cs="Times New Roman"/>
          <w:sz w:val="24"/>
          <w:szCs w:val="24"/>
          <w:lang w:val="en-US"/>
        </w:rPr>
      </w:pPr>
      <w:r w:rsidRPr="00FB31CF">
        <w:rPr>
          <w:rFonts w:ascii="Times New Roman" w:hAnsi="Times New Roman" w:cs="Times New Roman"/>
          <w:sz w:val="24"/>
          <w:szCs w:val="24"/>
        </w:rPr>
        <w:t>9. Закон Республики Казахстан от 28 августа 2009 года № 191-IV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Действующаяредакция</w:t>
      </w:r>
      <w:r w:rsidRPr="00FB31CF">
        <w:rPr>
          <w:rFonts w:ascii="Times New Roman" w:hAnsi="Times New Roman" w:cs="Times New Roman"/>
          <w:sz w:val="24"/>
          <w:szCs w:val="24"/>
          <w:lang w:val="en-US"/>
        </w:rPr>
        <w:t>.</w:t>
      </w:r>
    </w:p>
    <w:p w:rsidR="00BA26EA" w:rsidRPr="00FB31CF" w:rsidRDefault="00BA26EA" w:rsidP="00FB31CF">
      <w:pPr>
        <w:pStyle w:val="a3"/>
        <w:ind w:firstLine="426"/>
        <w:jc w:val="both"/>
        <w:rPr>
          <w:rFonts w:ascii="Times New Roman" w:hAnsi="Times New Roman" w:cs="Times New Roman"/>
          <w:sz w:val="24"/>
          <w:szCs w:val="24"/>
          <w:lang w:val="en-US"/>
        </w:rPr>
      </w:pPr>
      <w:r w:rsidRPr="00FB31CF">
        <w:rPr>
          <w:rFonts w:ascii="Times New Roman" w:hAnsi="Times New Roman" w:cs="Times New Roman"/>
          <w:sz w:val="24"/>
          <w:szCs w:val="24"/>
          <w:lang w:val="en-US"/>
        </w:rPr>
        <w:t>10. Eurasian Group on Combating Money Laundering and Financing of Terrorism. Republic of Kazakhstan: Mutual Evaluation Report. — 2023.</w:t>
      </w:r>
    </w:p>
    <w:p w:rsidR="00BA26EA" w:rsidRPr="00FB31CF" w:rsidRDefault="00BA26EA" w:rsidP="00FB31CF">
      <w:pPr>
        <w:pStyle w:val="a3"/>
        <w:ind w:firstLine="426"/>
        <w:jc w:val="both"/>
        <w:rPr>
          <w:rFonts w:ascii="Times New Roman" w:hAnsi="Times New Roman" w:cs="Times New Roman"/>
          <w:sz w:val="24"/>
          <w:szCs w:val="24"/>
          <w:lang w:val="en-US"/>
        </w:rPr>
      </w:pPr>
      <w:r w:rsidRPr="00FB31CF">
        <w:rPr>
          <w:rFonts w:ascii="Times New Roman" w:hAnsi="Times New Roman" w:cs="Times New Roman"/>
          <w:sz w:val="24"/>
          <w:szCs w:val="24"/>
          <w:lang w:val="en-US"/>
        </w:rPr>
        <w:t xml:space="preserve">11. Eurasian Group on Combating Money Laundering and Financing of Terrorism. Republic of Kazakhstan: </w:t>
      </w:r>
      <w:proofErr w:type="gramStart"/>
      <w:r w:rsidRPr="00FB31CF">
        <w:rPr>
          <w:rFonts w:ascii="Times New Roman" w:hAnsi="Times New Roman" w:cs="Times New Roman"/>
          <w:sz w:val="24"/>
          <w:szCs w:val="24"/>
          <w:lang w:val="en-US"/>
        </w:rPr>
        <w:t>1st</w:t>
      </w:r>
      <w:proofErr w:type="gramEnd"/>
      <w:r w:rsidRPr="00FB31CF">
        <w:rPr>
          <w:rFonts w:ascii="Times New Roman" w:hAnsi="Times New Roman" w:cs="Times New Roman"/>
          <w:sz w:val="24"/>
          <w:szCs w:val="24"/>
          <w:lang w:val="en-US"/>
        </w:rPr>
        <w:t xml:space="preserve"> Regular Follow-up Report with Technical Compliance Re-Rating. — 2026.</w:t>
      </w:r>
    </w:p>
    <w:p w:rsidR="004E2AD6" w:rsidRPr="00FB31CF" w:rsidRDefault="00BA26EA" w:rsidP="00FB31CF">
      <w:pPr>
        <w:pStyle w:val="a3"/>
        <w:ind w:firstLine="426"/>
        <w:jc w:val="both"/>
        <w:rPr>
          <w:rFonts w:ascii="Times New Roman" w:hAnsi="Times New Roman" w:cs="Times New Roman"/>
          <w:sz w:val="24"/>
          <w:szCs w:val="24"/>
          <w:lang w:val="en-US"/>
        </w:rPr>
      </w:pPr>
      <w:r w:rsidRPr="00FB31CF">
        <w:rPr>
          <w:rFonts w:ascii="Times New Roman" w:hAnsi="Times New Roman" w:cs="Times New Roman"/>
          <w:sz w:val="24"/>
          <w:szCs w:val="24"/>
          <w:lang w:val="en-US"/>
        </w:rPr>
        <w:t>12. Financial Action Task Force. The FATF Recommendations: International Standards on Combating Money Laundering and the Financing of Terrorism &amp; Proliferation. — Paris: FATF, updated February 2025.</w:t>
      </w:r>
    </w:p>
    <w:sectPr w:rsidR="004E2AD6" w:rsidRPr="00FB31CF" w:rsidSect="006B1AE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BA26EA"/>
    <w:rsid w:val="003B2CE9"/>
    <w:rsid w:val="004E2AD6"/>
    <w:rsid w:val="00523198"/>
    <w:rsid w:val="00573137"/>
    <w:rsid w:val="006B1AEF"/>
    <w:rsid w:val="006C291E"/>
    <w:rsid w:val="008C76EE"/>
    <w:rsid w:val="00B813E7"/>
    <w:rsid w:val="00BA26EA"/>
    <w:rsid w:val="00CE5993"/>
    <w:rsid w:val="00E77702"/>
    <w:rsid w:val="00EA6243"/>
    <w:rsid w:val="00FB31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A13C9"/>
  <w15:docId w15:val="{5114CFD1-A322-4CFF-A09D-1AD55886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3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26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9</Pages>
  <Words>4365</Words>
  <Characters>24883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9</cp:revision>
  <dcterms:created xsi:type="dcterms:W3CDTF">2026-08-28T11:23:00Z</dcterms:created>
  <dcterms:modified xsi:type="dcterms:W3CDTF">2026-08-31T15:38:00Z</dcterms:modified>
</cp:coreProperties>
</file>