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08" w:rsidRDefault="00875D08" w:rsidP="00281F89">
      <w:pPr>
        <w:spacing w:line="360" w:lineRule="atLeast"/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</w:pPr>
    </w:p>
    <w:p w:rsidR="00757B0D" w:rsidRPr="004C3263" w:rsidRDefault="00875D08" w:rsidP="00281F89">
      <w:pPr>
        <w:spacing w:line="360" w:lineRule="atLeast"/>
        <w:rPr>
          <w:rFonts w:cs="Arial"/>
          <w:sz w:val="28"/>
          <w:szCs w:val="28"/>
        </w:rPr>
      </w:pPr>
      <w:r w:rsidRPr="004C3263">
        <w:rPr>
          <w:rFonts w:cs="Arial"/>
          <w:sz w:val="28"/>
          <w:szCs w:val="28"/>
        </w:rPr>
        <w:t xml:space="preserve">Потенциал коллективного разума: </w:t>
      </w:r>
    </w:p>
    <w:p w:rsidR="00875D08" w:rsidRDefault="00875D08" w:rsidP="00281F89">
      <w:pPr>
        <w:spacing w:line="360" w:lineRule="atLeast"/>
        <w:rPr>
          <w:rFonts w:cs="Arial"/>
          <w:sz w:val="28"/>
          <w:szCs w:val="28"/>
        </w:rPr>
      </w:pPr>
      <w:r w:rsidRPr="004C3263">
        <w:rPr>
          <w:rFonts w:cs="Arial"/>
          <w:sz w:val="28"/>
          <w:szCs w:val="28"/>
        </w:rPr>
        <w:t>когда предскажут «черных лебедей»?</w:t>
      </w:r>
    </w:p>
    <w:p w:rsidR="004620AE" w:rsidRPr="00F46A12" w:rsidRDefault="004620AE" w:rsidP="004620AE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Использование коллективного интеллекта для предсказаний уже несколько лет активно разрабатывается военными, разведкой и крупнейшими корпорациями. Уже получено немало практических результатов, подтверждающих такую возможность.  </w:t>
      </w:r>
    </w:p>
    <w:p w:rsidR="004620AE" w:rsidRPr="004620AE" w:rsidRDefault="004620AE" w:rsidP="004620AE">
      <w:pPr>
        <w:spacing w:line="360" w:lineRule="atLeast"/>
        <w:rPr>
          <w:rFonts w:cs="Arial"/>
          <w:sz w:val="28"/>
          <w:szCs w:val="28"/>
        </w:rPr>
      </w:pPr>
      <w:r w:rsidRPr="004620AE">
        <w:rPr>
          <w:rFonts w:cs="Arial"/>
          <w:sz w:val="28"/>
          <w:szCs w:val="28"/>
        </w:rPr>
        <w:t xml:space="preserve">The </w:t>
      </w:r>
      <w:proofErr w:type="spellStart"/>
      <w:r w:rsidRPr="004620AE">
        <w:rPr>
          <w:rFonts w:cs="Arial"/>
          <w:sz w:val="28"/>
          <w:szCs w:val="28"/>
        </w:rPr>
        <w:t>potential</w:t>
      </w:r>
      <w:proofErr w:type="spellEnd"/>
      <w:r w:rsidRPr="004620AE">
        <w:rPr>
          <w:rFonts w:cs="Arial"/>
          <w:sz w:val="28"/>
          <w:szCs w:val="28"/>
        </w:rPr>
        <w:t xml:space="preserve"> of </w:t>
      </w:r>
      <w:proofErr w:type="spellStart"/>
      <w:r w:rsidRPr="004620AE">
        <w:rPr>
          <w:rFonts w:cs="Arial"/>
          <w:sz w:val="28"/>
          <w:szCs w:val="28"/>
        </w:rPr>
        <w:t>collective</w:t>
      </w:r>
      <w:proofErr w:type="spellEnd"/>
      <w:r w:rsidRPr="004620AE">
        <w:rPr>
          <w:rFonts w:cs="Arial"/>
          <w:sz w:val="28"/>
          <w:szCs w:val="28"/>
        </w:rPr>
        <w:t xml:space="preserve"> </w:t>
      </w:r>
      <w:proofErr w:type="spellStart"/>
      <w:r w:rsidRPr="004620AE">
        <w:rPr>
          <w:rFonts w:cs="Arial"/>
          <w:sz w:val="28"/>
          <w:szCs w:val="28"/>
        </w:rPr>
        <w:t>intelligence</w:t>
      </w:r>
      <w:proofErr w:type="spellEnd"/>
      <w:r w:rsidRPr="004620AE">
        <w:rPr>
          <w:rFonts w:cs="Arial"/>
          <w:sz w:val="28"/>
          <w:szCs w:val="28"/>
        </w:rPr>
        <w:t>:</w:t>
      </w:r>
    </w:p>
    <w:p w:rsidR="004620AE" w:rsidRPr="004620AE" w:rsidRDefault="004620AE" w:rsidP="004620AE">
      <w:pPr>
        <w:spacing w:line="360" w:lineRule="atLeast"/>
        <w:rPr>
          <w:rFonts w:cs="Arial"/>
          <w:sz w:val="28"/>
          <w:szCs w:val="28"/>
          <w:lang w:val="en-US"/>
        </w:rPr>
      </w:pPr>
      <w:bookmarkStart w:id="0" w:name="_GoBack"/>
      <w:bookmarkEnd w:id="0"/>
      <w:r w:rsidRPr="004620AE">
        <w:rPr>
          <w:rFonts w:cs="Arial"/>
          <w:sz w:val="28"/>
          <w:szCs w:val="28"/>
          <w:lang w:val="en-US"/>
        </w:rPr>
        <w:t xml:space="preserve">Using collective intelligence to predict several years actively developed by the military, intelligence, and major corporations. </w:t>
      </w:r>
      <w:proofErr w:type="gramStart"/>
      <w:r w:rsidRPr="004620AE">
        <w:rPr>
          <w:rFonts w:cs="Arial"/>
          <w:sz w:val="28"/>
          <w:szCs w:val="28"/>
          <w:lang w:val="en-US"/>
        </w:rPr>
        <w:t>Already received a lot of practical results that confirm this possibility.</w:t>
      </w:r>
      <w:proofErr w:type="gramEnd"/>
    </w:p>
    <w:p w:rsidR="004620AE" w:rsidRPr="004620AE" w:rsidRDefault="004620AE" w:rsidP="004620AE">
      <w:pPr>
        <w:spacing w:line="360" w:lineRule="atLeast"/>
        <w:rPr>
          <w:rFonts w:cs="Arial"/>
          <w:sz w:val="28"/>
          <w:szCs w:val="28"/>
          <w:lang w:val="en-US"/>
        </w:rPr>
      </w:pPr>
    </w:p>
    <w:p w:rsidR="004620AE" w:rsidRPr="004C3263" w:rsidRDefault="004620AE" w:rsidP="004620AE">
      <w:pPr>
        <w:spacing w:line="360" w:lineRule="atLeast"/>
        <w:rPr>
          <w:rFonts w:cs="Arial"/>
          <w:sz w:val="28"/>
          <w:szCs w:val="28"/>
        </w:rPr>
      </w:pPr>
      <w:proofErr w:type="spellStart"/>
      <w:r w:rsidRPr="004620AE">
        <w:rPr>
          <w:rFonts w:cs="Arial"/>
          <w:sz w:val="28"/>
          <w:szCs w:val="28"/>
        </w:rPr>
        <w:t>Christine</w:t>
      </w:r>
      <w:proofErr w:type="spellEnd"/>
      <w:r w:rsidRPr="004620AE">
        <w:rPr>
          <w:rFonts w:cs="Arial"/>
          <w:sz w:val="28"/>
          <w:szCs w:val="28"/>
        </w:rPr>
        <w:t xml:space="preserve"> </w:t>
      </w:r>
      <w:proofErr w:type="spellStart"/>
      <w:r w:rsidRPr="004620AE">
        <w:rPr>
          <w:rFonts w:cs="Arial"/>
          <w:sz w:val="28"/>
          <w:szCs w:val="28"/>
        </w:rPr>
        <w:t>Daniloff</w:t>
      </w:r>
      <w:proofErr w:type="spellEnd"/>
    </w:p>
    <w:p w:rsidR="004C3263" w:rsidRPr="004C3263" w:rsidRDefault="004C3263" w:rsidP="00281F89">
      <w:pPr>
        <w:spacing w:line="360" w:lineRule="atLeast"/>
        <w:rPr>
          <w:rFonts w:ascii="Arial" w:eastAsia="Times New Roman" w:hAnsi="Arial" w:cs="Arial"/>
          <w:color w:val="969696"/>
          <w:sz w:val="24"/>
          <w:szCs w:val="24"/>
          <w:shd w:val="clear" w:color="auto" w:fill="FFFFFF"/>
          <w:lang w:eastAsia="ru-RU"/>
        </w:rPr>
      </w:pPr>
      <w:proofErr w:type="spellStart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>Christine</w:t>
      </w:r>
      <w:proofErr w:type="spellEnd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>Daniloff</w:t>
      </w:r>
      <w:proofErr w:type="spellEnd"/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Недавно обнародованные </w:t>
      </w:r>
      <w:hyperlink r:id="rId5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планы Пентагона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, который хочет </w:t>
      </w:r>
      <w:hyperlink r:id="rId6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предсказывать будущее с помощью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Twitter</w:t>
        </w:r>
        <w:proofErr w:type="spellEnd"/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, многие восприняли как сенсацию. Хотя, конечно, это вовсе не сюрприз. Использование коллективного интеллекта для предсказаний уже несколько лет активно разрабатывается военными, разведкой и крупнейшими корпорациями. Уже получено немало практических результатов, подтверждающих такую возможность.  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 xml:space="preserve">  </w:t>
      </w:r>
    </w:p>
    <w:p w:rsidR="00F46A12" w:rsidRPr="00F46A12" w:rsidRDefault="00F46A12" w:rsidP="00281F89">
      <w:pPr>
        <w:spacing w:after="210" w:line="360" w:lineRule="atLeast"/>
        <w:outlineLvl w:val="3"/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</w:pPr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 xml:space="preserve">Сила </w:t>
      </w:r>
      <w:proofErr w:type="spellStart"/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>безмасштабной</w:t>
      </w:r>
      <w:proofErr w:type="spellEnd"/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 xml:space="preserve"> сети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 последние годы ученые уже довольно убедительно </w:t>
      </w:r>
      <w:hyperlink r:id="rId7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показали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, что сеть, образованная миллиардами нейронов человеческого мозга, и сеть, образованная взаимодействием миллиардов людей и компьютеров, работают по одним и тем же информационным законам и обладают одними и теми же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свойствами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так называемых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безмасштабных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сетей (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fldChar w:fldCharType="begin"/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instrText xml:space="preserve"> HYPERLINK "http://en.wikipedia.org/wiki/Scale-free_network" \t "_blank" </w:instrTex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fldChar w:fldCharType="separate"/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scale-free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network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fldChar w:fldCharType="end"/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). Более того, выяснилось, что все живые организмы образованы в виде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безмасштабных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сетей, состоящих из клеток этих организмов. Получается, что состоящая из нейронов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безмасштабная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сеть служит механизмом реализации индивидуального интеллекта. Тогда можно предположить, что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безмасштабная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сеть, состоящая из этих самых индивидуальных интеллектов, может быть механизмом реализации нового носителя интеллекта (в данном случае – коллективного). По этому поводу есть даже гипотеза, что целью научно-технического прогресса как раз и является создание носителя интеллекта более высокого уровня – общечеловеческого интеллекта.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 xml:space="preserve">Способность к предсказаниям, по мнению ряда известных ученых, является одной из главных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отличительных особенностей интеллекта. Например, в 2001 году в своей книге </w:t>
      </w:r>
      <w:hyperlink r:id="rId8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«I of the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vortex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Рудольфо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Ллинас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из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Нью-Йоркского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медицинского университета писал: «Способность предсказывать исход будущих событий – критическая для успешного продвижения, – вероятнее всего, является предельной и наиболее общей из всех функций мозга». А 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Джефф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Хокинс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, основатель компании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Numenta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своей потрясающей книге </w:t>
      </w:r>
      <w:hyperlink r:id="rId9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«On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Intelligence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описывает принципиально новую модель работы мозга на основе иерархических структур памяти, осуществляющей постоянные предсказания (модель так и называется – «память-предсказание»). Следовательно, логично предположить, что и коллективный интеллект также сможет делать предсказания. При этом он, скорее всего, будет делать предсказания лучше индивидуального интеллекта – просто за счет своей несоизмеримо большей мощности. За доказательствами последнего можно, например, обратиться к исследованию корпорации </w:t>
      </w:r>
      <w:hyperlink r:id="rId10" w:tgtFrame="_blank" w:history="1"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Microsoft</w:t>
        </w:r>
        <w:proofErr w:type="spellEnd"/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hyperlink r:id="rId11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Crowd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IQ –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Aggregating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Opinions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to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Boost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Performance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Несколько упрощая, можно выделить два метода предсказаний с помощью сетевого коллективного интеллекта: статистический и нестатистический.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Статистический подход, как следует из его названия, опирается на анализ значительных массивов накопленной информации относительно конкретного события, которое может произойти (или не произойти) в будущем. Когда же такого массива информации нет (или же дорого/долго его обрабатывать), используют нестатистический подход, базирующийся на анализе мнений экспертов. Слово эксперты означает всего лишь то, что на экспертизу этих людей собираются положиться. И это могут быть как штатные эксперты, так и люди, просто набранные из некоего «пула потенциальных экспертов» (например, из пользователей интернета) по тем или иным критериям. 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46A12" w:rsidRPr="00F46A12" w:rsidRDefault="00F46A12" w:rsidP="00281F89">
      <w:pPr>
        <w:spacing w:after="210" w:line="360" w:lineRule="atLeast"/>
        <w:outlineLvl w:val="3"/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</w:pPr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>Нестатистический подход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Поскольку в общем случае эксперты редко придерживаются одной позиции, нестатистические методы используют различного рода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агрегаторы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мнений, с помощью которых разноголосый хор экспертов преобразуется в итоговое предсказание.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Такие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агрегаторы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мнений (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Opinion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Pools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) использовались еще задолго до интернета, например при групповом принятии решений, анализе рисков.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С распространением интернета, предоставившего почти неограниченные возможности для мобилизации экспертов, самыми популярными стали нестатистические сетевые методы, основанные на так называемых информационных рынках: рынки предсказаний (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Prediction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Markets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), рынки идей (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Idea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Markets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), рынки событий (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Event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Markets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) и так далее. Популярность этой группы методов весьма высока (см., например, </w:t>
      </w:r>
      <w:hyperlink r:id="rId12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«Осьминог Пауль уже не нужен»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на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Slon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). Как и всякие рынки, информационные рынки понятны даже неподготовленному человеку. Цена котирующейся на информационном рынке ценной бумаги зависит от ее спроса и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 xml:space="preserve">предложения. Если сейчас можно купить ценную бумагу дешево и если есть уверенность, что она потом вырастет в цене, – покупай. Если же уверен, что цена на эту бумагу будет только падать, – немедленно продавай. Ну а что выражает эта цена, какая разница: вероятность какого-то события в будущем (как на рынках событий), шансы того, что идея будет признана лучшей (как на рынке идей) и так далее. С помощью нестатистических сетевых методов сегодня предсказывают все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подряд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: какой из фильмов </w:t>
      </w:r>
      <w:hyperlink r:id="rId13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получит «Оскар»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 </w:t>
      </w:r>
      <w:hyperlink r:id="rId14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кто выиграет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на выборах, а </w:t>
      </w:r>
      <w:hyperlink r:id="rId15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также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–  выйдет ли Финляндия из Еврозоны, понизит ли S&amp;P кредитный рейтинг Великобритании, найдет ли 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марсоход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Curiosity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следы жизни на Марсе, будет ли Россия до 2014 года поддерживать свое военное присутствие в Сирии, выпустит ли в 2013 году корпорация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Microsoft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новую версию приставки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Xbox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...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Важно отметить, что: 1) точность предсказаний этих методов примерно одинакова у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Opinion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Pools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и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Prediction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Markets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; 2) эта точность для одних типов предсказаний (например, выборы президента США) крайне высока, а для других типов (например, кто станет чемпионом мира по футболу) не очень; 3) в целом по части повышения точности предсказаний нестатистических методов есть над чем работать. </w:t>
      </w:r>
      <w:proofErr w:type="gramEnd"/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46A12" w:rsidRPr="00F46A12" w:rsidRDefault="00F46A12" w:rsidP="00281F89">
      <w:pPr>
        <w:spacing w:after="210" w:line="360" w:lineRule="atLeast"/>
        <w:outlineLvl w:val="3"/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</w:pPr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>Статистический подход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Статистический подход к предсказаниям с помощью коллективного интеллекта начали использовать сравнительно недавно (ранее просто не были накоплены массивы данных). Одной из первых публикаций на эту тему стала статья </w:t>
      </w:r>
      <w:hyperlink r:id="rId16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Using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web-based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search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data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to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predict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macroeconomic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statistics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(2005). А в 2009 году, когда ежегодное число поисковых запросов в США превысило 150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млрд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результаты их анализа оказались уже </w:t>
      </w:r>
      <w:hyperlink r:id="rId17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сенсационными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– они позволили в 4 раза уменьшить ошибку в предсказаниях цен и объемов рынка жилья (по отношению к существовавшим до этого методам предсказаний).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 xml:space="preserve">За прошедшие с того времени три года было убедительно показано, что точность статистических методов превышает точность рынков предсказаний.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А области использования предсказаний по анализу поисковых запросов практически любые: в эпидемиологии – это предсказание </w:t>
      </w:r>
      <w:hyperlink r:id="rId18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эпидемий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анализе финансовых рынков – </w:t>
      </w:r>
      <w:hyperlink r:id="rId19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предсказание скачков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стоимости акций, в шоу-бизнесе – </w:t>
      </w:r>
      <w:hyperlink r:id="rId20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предсказание сборов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от кинофильма, в экономике – </w:t>
      </w:r>
      <w:hyperlink r:id="rId21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предсказание уровня безработицы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. Именно поэтому, отмечая ключевые факторы влияния интернета на бизнес, глобальный институт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McKinsey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в вышедшем недавно отчете </w:t>
      </w:r>
      <w:hyperlink r:id="rId22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Internet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spell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Matters</w:t>
        </w:r>
        <w:proofErr w:type="spell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.</w:t>
        </w:r>
        <w:proofErr w:type="gramEnd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 xml:space="preserve"> </w:t>
        </w:r>
        <w:proofErr w:type="gram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val="en-US" w:eastAsia="ru-RU"/>
          </w:rPr>
          <w:t>Essays in digital transformation»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> 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посвятил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данной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теме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отдельный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раздел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 – «The predictive value of search».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>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val="en-US" w:eastAsia="ru-RU"/>
        </w:rPr>
        <w:t xml:space="preserve">  </w:t>
      </w:r>
      <w:r w:rsidRPr="00031AD3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Следующим шагом стало использование статистики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социальных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медиа. Уже в 2010 году было показано, что даже весьма простая модель на основе числа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твитов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в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Twitter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про конкретные фильмы позволяет </w:t>
      </w:r>
      <w:hyperlink r:id="rId23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прогнозировать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киносборы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точнее, чем рынки предсказаний. А в 2011-м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 xml:space="preserve">анализ 133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млн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твитов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посвященных 18 тысячам тем, </w:t>
      </w:r>
      <w:hyperlink r:id="rId24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показал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высокую эффективность этого метода для любых прогнозов, касающихся популярности кого-либо или чего-либо.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9078"/>
      </w:tblGrid>
      <w:tr w:rsidR="00F46A12" w:rsidRPr="00F46A12" w:rsidTr="00F46A12">
        <w:trPr>
          <w:jc w:val="center"/>
        </w:trPr>
        <w:tc>
          <w:tcPr>
            <w:tcW w:w="300" w:type="dxa"/>
            <w:tcBorders>
              <w:left w:val="single" w:sz="18" w:space="0" w:color="E6E6E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A12" w:rsidRPr="00F46A12" w:rsidRDefault="00F46A12" w:rsidP="00281F89">
            <w:pPr>
              <w:spacing w:after="0" w:line="360" w:lineRule="atLeast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A12" w:rsidRPr="00F46A12" w:rsidRDefault="00F46A12" w:rsidP="00281F89">
            <w:pPr>
              <w:spacing w:after="0" w:line="360" w:lineRule="atLeast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</w:p>
          <w:p w:rsidR="00F46A12" w:rsidRPr="00F46A12" w:rsidRDefault="00F46A12" w:rsidP="00281F89">
            <w:pPr>
              <w:spacing w:after="315" w:line="405" w:lineRule="atLeast"/>
              <w:outlineLvl w:val="3"/>
              <w:rPr>
                <w:rFonts w:ascii="Proxima Nova" w:eastAsia="Times New Roman" w:hAnsi="Proxima Nova" w:cs="Arial"/>
                <w:color w:val="808080"/>
                <w:sz w:val="36"/>
                <w:szCs w:val="36"/>
                <w:lang w:eastAsia="ru-RU"/>
              </w:rPr>
            </w:pPr>
            <w:r w:rsidRPr="00F46A12">
              <w:rPr>
                <w:rFonts w:ascii="Proxima Nova" w:eastAsia="Times New Roman" w:hAnsi="Proxima Nova" w:cs="Arial"/>
                <w:color w:val="808080"/>
                <w:sz w:val="36"/>
                <w:szCs w:val="36"/>
                <w:lang w:eastAsia="ru-RU"/>
              </w:rPr>
              <w:t>К 2012 году был сделан качественный скачок в предсказаниях по сетевой статистике – от ответов на вопрос «когда это может случиться?» перешли к ответам на вопрос «почему это может случиться?».</w:t>
            </w:r>
          </w:p>
        </w:tc>
      </w:tr>
    </w:tbl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Этот скачок оказался возможен за счет перехода от анализа статистики количества поисковых запросов и/или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твитов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к анализу динамики сетевого контента и выявления в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ней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так называемых временных серий.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Сегодня с помощью инструментов статистического анализа поисковых запросов довольно просто </w:t>
      </w:r>
      <w:hyperlink r:id="rId25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прогнозировать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 краткосрочную динамику экономических индикаторов по регионам, типа: безработица, продажи автомобилей или турпутевок, спрос на продукцию массового потребления и так далее. А с помощью статистического анализа социальных медиа </w:t>
      </w:r>
      <w:hyperlink r:id="rId26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делаются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весьма точные прогнозы для маркетинга, задач распространения информации (пропаганда, слухи,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мемы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), выборов, макроэкономики и пр. Но это только начало перехода к новому качественному уровню предсказаний сетевого коллективного интеллекта. 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F46A12" w:rsidRPr="00F46A12" w:rsidRDefault="00F46A12" w:rsidP="00281F89">
      <w:pPr>
        <w:spacing w:after="210" w:line="360" w:lineRule="atLeast"/>
        <w:outlineLvl w:val="3"/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</w:pPr>
      <w:r w:rsidRPr="00F46A12">
        <w:rPr>
          <w:rFonts w:ascii="Proxima Nova" w:eastAsia="Times New Roman" w:hAnsi="Proxima Nova" w:cs="Arial"/>
          <w:color w:val="FA2800"/>
          <w:sz w:val="36"/>
          <w:szCs w:val="36"/>
          <w:lang w:eastAsia="ru-RU"/>
        </w:rPr>
        <w:t>Что дальше </w:t>
      </w:r>
    </w:p>
    <w:p w:rsidR="00F46A12" w:rsidRPr="00F46A12" w:rsidRDefault="00F46A12" w:rsidP="00281F89">
      <w:pPr>
        <w:spacing w:after="24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На повестке дня предсказание непредсказуемого – </w:t>
      </w:r>
      <w:hyperlink r:id="rId27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«черных лебедей»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, событий, имеющих мизерную вероятность свершиться, но все равно свершающихся и приносящих за собой огромные изменения. Пока задача, казалось бы, непостижимая. Ведь предсказать, куда пойдет конкретный тренд, в конце </w:t>
      </w:r>
      <w:proofErr w:type="gram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концов</w:t>
      </w:r>
      <w:proofErr w:type="gram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можно, зная наперед, что он может пойти либо вверх, либо вниз, либо остаться в текущем положении. А «черных лебедей» как предсказать? Вот ведь </w:t>
      </w:r>
      <w:hyperlink r:id="rId28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не смогли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же предсказать «арабскую весну» при наличии всех вышеназванных инструментов! </w:t>
      </w:r>
    </w:p>
    <w:p w:rsidR="00F46A12" w:rsidRPr="00F46A12" w:rsidRDefault="00F46A12" w:rsidP="00281F89">
      <w:pPr>
        <w:spacing w:after="0"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Военные и разведка уже движутся в сторону предсказания «черных лебедей». Пока что весьма </w:t>
      </w:r>
      <w:hyperlink r:id="rId29" w:tgtFrame="_blank" w:history="1">
        <w:proofErr w:type="gramStart"/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специфических</w:t>
        </w:r>
        <w:proofErr w:type="gramEnd"/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касающихся в основном терроризма. Но процесс пошел. В прошлом году Белый дом обнародовал </w:t>
      </w:r>
      <w:hyperlink r:id="rId30" w:tgtFrame="_blank" w:history="1">
        <w:r w:rsidRPr="00F46A12">
          <w:rPr>
            <w:rFonts w:ascii="Arial" w:eastAsia="Times New Roman" w:hAnsi="Arial" w:cs="Arial"/>
            <w:color w:val="282828"/>
            <w:sz w:val="21"/>
            <w:szCs w:val="21"/>
            <w:lang w:eastAsia="ru-RU"/>
          </w:rPr>
          <w:t>«Оборонные приоритеты XXI века»</w:t>
        </w:r>
      </w:hyperlink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(21st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Century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Defense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Priorities</w:t>
      </w:r>
      <w:proofErr w:type="spellEnd"/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), которые значительно повышают роль науки и технологий в вопросах обороны и предотвращения всевозможных угроз национального уровня (военных, террористических и даже внутренних). Причем два из семи направлений новой парадигмы непосредственно </w:t>
      </w:r>
      <w:r w:rsidRPr="00F46A12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 xml:space="preserve">связаны с необходимостью совершить прорыв в области сетевых коллективных предсказаний. И вот здесь, я уверен, и стоит ждать настоящего прорыва.  </w:t>
      </w:r>
    </w:p>
    <w:p w:rsidR="004D05CF" w:rsidRDefault="004D05CF" w:rsidP="00281F89"/>
    <w:p w:rsidR="00031AD3" w:rsidRDefault="00031AD3" w:rsidP="00031AD3">
      <w:pPr>
        <w:spacing w:line="360" w:lineRule="atLeast"/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</w:pPr>
      <w:hyperlink r:id="rId31" w:history="1">
        <w:r w:rsidRPr="004F3479">
          <w:rPr>
            <w:rStyle w:val="a3"/>
            <w:rFonts w:ascii="Arial" w:eastAsia="Times New Roman" w:hAnsi="Arial" w:cs="Arial"/>
            <w:sz w:val="17"/>
            <w:szCs w:val="17"/>
            <w:shd w:val="clear" w:color="auto" w:fill="FFFFFF"/>
            <w:lang w:eastAsia="ru-RU"/>
          </w:rPr>
          <w:t>http://slon.ru/future/potentsial_kollektivnogo_razuma_kogda_predskazhut_chernykh_lebedey_-881003.xhtml</w:t>
        </w:r>
      </w:hyperlink>
    </w:p>
    <w:p w:rsidR="00031AD3" w:rsidRDefault="00031AD3" w:rsidP="00031AD3">
      <w:pPr>
        <w:spacing w:line="360" w:lineRule="atLeast"/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</w:pPr>
    </w:p>
    <w:p w:rsidR="00031AD3" w:rsidRPr="00F46A12" w:rsidRDefault="00031AD3" w:rsidP="00031AD3">
      <w:pPr>
        <w:spacing w:line="36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 xml:space="preserve">© </w:t>
      </w:r>
      <w:proofErr w:type="spellStart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>Christine</w:t>
      </w:r>
      <w:proofErr w:type="spellEnd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F46A12">
        <w:rPr>
          <w:rFonts w:ascii="Arial" w:eastAsia="Times New Roman" w:hAnsi="Arial" w:cs="Arial"/>
          <w:color w:val="969696"/>
          <w:sz w:val="17"/>
          <w:szCs w:val="17"/>
          <w:shd w:val="clear" w:color="auto" w:fill="FFFFFF"/>
          <w:lang w:eastAsia="ru-RU"/>
        </w:rPr>
        <w:t>Daniloff</w:t>
      </w:r>
      <w:proofErr w:type="spellEnd"/>
    </w:p>
    <w:p w:rsidR="00031AD3" w:rsidRDefault="00031AD3" w:rsidP="00281F89"/>
    <w:sectPr w:rsidR="0003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12"/>
    <w:rsid w:val="00031AD3"/>
    <w:rsid w:val="00281F89"/>
    <w:rsid w:val="004620AE"/>
    <w:rsid w:val="004C3263"/>
    <w:rsid w:val="004D05CF"/>
    <w:rsid w:val="00757B0D"/>
    <w:rsid w:val="00875D08"/>
    <w:rsid w:val="00F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6A12"/>
    <w:pPr>
      <w:spacing w:after="210" w:line="240" w:lineRule="auto"/>
      <w:outlineLvl w:val="3"/>
    </w:pPr>
    <w:rPr>
      <w:rFonts w:ascii="Proxima Nova" w:eastAsia="Times New Roman" w:hAnsi="Proxima Nova" w:cs="Times New Roman"/>
      <w:color w:val="FA2800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6A12"/>
    <w:rPr>
      <w:rFonts w:ascii="Proxima Nova" w:eastAsia="Times New Roman" w:hAnsi="Proxima Nova" w:cs="Times New Roman"/>
      <w:color w:val="FA2800"/>
      <w:sz w:val="41"/>
      <w:szCs w:val="41"/>
      <w:lang w:eastAsia="ru-RU"/>
    </w:rPr>
  </w:style>
  <w:style w:type="character" w:styleId="a3">
    <w:name w:val="Hyperlink"/>
    <w:basedOn w:val="a0"/>
    <w:uiPriority w:val="99"/>
    <w:unhideWhenUsed/>
    <w:rsid w:val="00F46A12"/>
    <w:rPr>
      <w:strike w:val="0"/>
      <w:dstrike w:val="0"/>
      <w:color w:val="2828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6A12"/>
    <w:pPr>
      <w:spacing w:after="210" w:line="240" w:lineRule="auto"/>
      <w:outlineLvl w:val="3"/>
    </w:pPr>
    <w:rPr>
      <w:rFonts w:ascii="Proxima Nova" w:eastAsia="Times New Roman" w:hAnsi="Proxima Nova" w:cs="Times New Roman"/>
      <w:color w:val="FA2800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6A12"/>
    <w:rPr>
      <w:rFonts w:ascii="Proxima Nova" w:eastAsia="Times New Roman" w:hAnsi="Proxima Nova" w:cs="Times New Roman"/>
      <w:color w:val="FA2800"/>
      <w:sz w:val="41"/>
      <w:szCs w:val="41"/>
      <w:lang w:eastAsia="ru-RU"/>
    </w:rPr>
  </w:style>
  <w:style w:type="character" w:styleId="a3">
    <w:name w:val="Hyperlink"/>
    <w:basedOn w:val="a0"/>
    <w:uiPriority w:val="99"/>
    <w:unhideWhenUsed/>
    <w:rsid w:val="00F46A12"/>
    <w:rPr>
      <w:strike w:val="0"/>
      <w:dstrike w:val="0"/>
      <w:color w:val="2828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384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I-Vortex-From-Neurons-Self/dp/0262621630" TargetMode="External"/><Relationship Id="rId13" Type="http://schemas.openxmlformats.org/officeDocument/2006/relationships/hyperlink" Target="http://www.utsandiego.com/news/2010/feb/01/1c01prediction/" TargetMode="External"/><Relationship Id="rId18" Type="http://schemas.openxmlformats.org/officeDocument/2006/relationships/hyperlink" Target="http://www.nature.com/nature/journal/v457/n7232/full/nature07634.html" TargetMode="External"/><Relationship Id="rId26" Type="http://schemas.openxmlformats.org/officeDocument/2006/relationships/hyperlink" Target="http://arxiv.org/ftp/arxiv/papers/1203/1203.164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pers.ssrn.com/sol3/papers.cfm?abstract_id=1480251" TargetMode="External"/><Relationship Id="rId7" Type="http://schemas.openxmlformats.org/officeDocument/2006/relationships/hyperlink" Target="http://witology.com/727.html" TargetMode="External"/><Relationship Id="rId12" Type="http://schemas.openxmlformats.org/officeDocument/2006/relationships/hyperlink" Target="http://slon.ru/future/osminog_paul_uzhe_ne_nuzhen-582827.xhtml" TargetMode="External"/><Relationship Id="rId17" Type="http://schemas.openxmlformats.org/officeDocument/2006/relationships/hyperlink" Target="http://ebusiness.mit.edu/research/papers/2012.03_Wu_Brynjolfsson_The%20Future%20of%20Prediction_299.pdf" TargetMode="External"/><Relationship Id="rId25" Type="http://schemas.openxmlformats.org/officeDocument/2006/relationships/hyperlink" Target="http://people.ischool.berkeley.edu/~hal/Papers/2011/ptp.pd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l.acm.org/citation.cfm?id=1096010" TargetMode="External"/><Relationship Id="rId20" Type="http://schemas.openxmlformats.org/officeDocument/2006/relationships/hyperlink" Target="http://www.pnas.org/content/107/41/17486.full" TargetMode="External"/><Relationship Id="rId29" Type="http://schemas.openxmlformats.org/officeDocument/2006/relationships/hyperlink" Target="http://slon.ru/future/za_vami_nablyudayut_pryamo_seychas_i_eto_ne_kino-865379.x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lon.ru/fast/future/pentagon-khochet-predskazyvat-budushchee-blagodarya-tvitteru-874862.xhtml" TargetMode="External"/><Relationship Id="rId11" Type="http://schemas.openxmlformats.org/officeDocument/2006/relationships/hyperlink" Target="http://research.microsoft.com/apps/pubs/default.aspx?id=159452" TargetMode="External"/><Relationship Id="rId24" Type="http://schemas.openxmlformats.org/officeDocument/2006/relationships/hyperlink" Target="https://www.asis.org/asist2012/proceedings/Submissions/207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cdn.nextgov.com/nextgov/interstitial.html?rf=http%3A%2F%2Fwww.nextgov.com%2Fbig-data%2F2012%2F07%2Fpentagon-seeks-predict-terrorism-monitoring-facebook-twitter%2F57085%2F" TargetMode="External"/><Relationship Id="rId15" Type="http://schemas.openxmlformats.org/officeDocument/2006/relationships/hyperlink" Target="http://forecastingace.com/" TargetMode="External"/><Relationship Id="rId23" Type="http://schemas.openxmlformats.org/officeDocument/2006/relationships/hyperlink" Target="http://ieeexplore.ieee.org/xpl/articleDetails.jsp?reload=true&amp;arnumber=5616710" TargetMode="External"/><Relationship Id="rId28" Type="http://schemas.openxmlformats.org/officeDocument/2006/relationships/hyperlink" Target="http://www.npr.org/2012/10/08/162397787/predicting-the-future-fantasy-or-a-good-algorithm" TargetMode="External"/><Relationship Id="rId10" Type="http://schemas.openxmlformats.org/officeDocument/2006/relationships/hyperlink" Target="http://slon.ru/tag/488/" TargetMode="External"/><Relationship Id="rId19" Type="http://schemas.openxmlformats.org/officeDocument/2006/relationships/hyperlink" Target="http://econpapers.repec.org/article/eeeintfor/v_3a27_3ay_3a2011_3ai_3a4_3ap_3a1116-1127.htm" TargetMode="External"/><Relationship Id="rId31" Type="http://schemas.openxmlformats.org/officeDocument/2006/relationships/hyperlink" Target="http://slon.ru/future/potentsial_kollektivnogo_razuma_kogda_predskazhut_chernykh_lebedey_-881003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intelligence.org/reviews.php" TargetMode="External"/><Relationship Id="rId14" Type="http://schemas.openxmlformats.org/officeDocument/2006/relationships/hyperlink" Target="http://itoday.ru/blogs/karelov/316.php" TargetMode="External"/><Relationship Id="rId22" Type="http://schemas.openxmlformats.org/officeDocument/2006/relationships/hyperlink" Target="http://www.mckinsey.com/insights/mgi/research/technology_and_innovation/essays_in_digital_transformation" TargetMode="External"/><Relationship Id="rId27" Type="http://schemas.openxmlformats.org/officeDocument/2006/relationships/hyperlink" Target="http://www.ozon.ru/context/detail/id/4722752/" TargetMode="External"/><Relationship Id="rId30" Type="http://schemas.openxmlformats.org/officeDocument/2006/relationships/hyperlink" Target="http://www.state.gov/secretary/rm/2012/01/1802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2013-05-22T08:00:00Z</dcterms:created>
  <dcterms:modified xsi:type="dcterms:W3CDTF">2013-05-26T04:17:00Z</dcterms:modified>
</cp:coreProperties>
</file>