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B4" w:rsidRDefault="00E25EB4" w:rsidP="00E25EB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049000" cy="4095750"/>
            <wp:effectExtent l="0" t="0" r="0" b="0"/>
            <wp:docPr id="2" name="Рисунок 2" descr="banner ea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eab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B4" w:rsidRDefault="00E25EB4" w:rsidP="00E25E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hAnsi="Arial" w:cs="Arial"/>
          <w:color w:val="000000"/>
          <w:sz w:val="21"/>
          <w:szCs w:val="21"/>
        </w:rPr>
      </w:pPr>
      <w:hyperlink r:id="rId7" w:anchor="eabr-hmenu" w:history="1">
        <w:r>
          <w:rPr>
            <w:rStyle w:val="a6"/>
            <w:rFonts w:ascii="Arial" w:hAnsi="Arial" w:cs="Arial"/>
            <w:color w:val="337AB7"/>
            <w:sz w:val="27"/>
            <w:szCs w:val="27"/>
            <w:bdr w:val="threeDEmboss" w:sz="12" w:space="8" w:color="auto" w:frame="1"/>
          </w:rPr>
          <w:t>О конференции</w:t>
        </w:r>
      </w:hyperlink>
    </w:p>
    <w:p w:rsidR="00E25EB4" w:rsidRDefault="00E25EB4" w:rsidP="00E25E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Arial" w:hAnsi="Arial" w:cs="Arial"/>
          <w:color w:val="000000"/>
          <w:sz w:val="21"/>
          <w:szCs w:val="21"/>
        </w:rPr>
      </w:pPr>
      <w:hyperlink r:id="rId8" w:anchor="e-menu-header" w:history="1">
        <w:r>
          <w:rPr>
            <w:rStyle w:val="a6"/>
            <w:rFonts w:ascii="Arial" w:hAnsi="Arial" w:cs="Arial"/>
            <w:color w:val="337AB7"/>
            <w:sz w:val="27"/>
            <w:szCs w:val="27"/>
            <w:bdr w:val="threeDEmboss" w:sz="12" w:space="8" w:color="auto" w:frame="1"/>
          </w:rPr>
          <w:t>Программа</w:t>
        </w:r>
      </w:hyperlink>
    </w:p>
    <w:p w:rsidR="00E25EB4" w:rsidRDefault="00E25EB4" w:rsidP="00E25E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Arial" w:hAnsi="Arial" w:cs="Arial"/>
          <w:color w:val="000000"/>
          <w:sz w:val="21"/>
          <w:szCs w:val="21"/>
        </w:rPr>
      </w:pPr>
      <w:hyperlink r:id="rId9" w:anchor="e-menu-title-sp" w:history="1">
        <w:r>
          <w:rPr>
            <w:rStyle w:val="a6"/>
            <w:rFonts w:ascii="Arial" w:hAnsi="Arial" w:cs="Arial"/>
            <w:color w:val="337AB7"/>
            <w:sz w:val="27"/>
            <w:szCs w:val="27"/>
            <w:bdr w:val="threeDEmboss" w:sz="12" w:space="8" w:color="auto" w:frame="1"/>
          </w:rPr>
          <w:t>Спикеры</w:t>
        </w:r>
      </w:hyperlink>
    </w:p>
    <w:p w:rsidR="00E25EB4" w:rsidRDefault="00E25EB4" w:rsidP="00E25E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Arial" w:hAnsi="Arial" w:cs="Arial"/>
          <w:color w:val="000000"/>
          <w:sz w:val="21"/>
          <w:szCs w:val="21"/>
        </w:rPr>
      </w:pPr>
      <w:hyperlink r:id="rId10" w:anchor="e-menu-title-part" w:history="1">
        <w:r>
          <w:rPr>
            <w:rStyle w:val="a6"/>
            <w:rFonts w:ascii="Arial" w:hAnsi="Arial" w:cs="Arial"/>
            <w:color w:val="337AB7"/>
            <w:sz w:val="27"/>
            <w:szCs w:val="27"/>
            <w:bdr w:val="threeDEmboss" w:sz="12" w:space="8" w:color="auto" w:frame="1"/>
          </w:rPr>
          <w:t>Участникам</w:t>
        </w:r>
      </w:hyperlink>
    </w:p>
    <w:p w:rsidR="00E25EB4" w:rsidRDefault="00E25EB4" w:rsidP="00E25E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Arial" w:hAnsi="Arial" w:cs="Arial"/>
          <w:color w:val="000000"/>
          <w:sz w:val="21"/>
          <w:szCs w:val="21"/>
        </w:rPr>
      </w:pPr>
      <w:hyperlink r:id="rId11" w:anchor="e-menu-title-con" w:history="1">
        <w:r>
          <w:rPr>
            <w:rStyle w:val="a6"/>
            <w:rFonts w:ascii="Arial" w:hAnsi="Arial" w:cs="Arial"/>
            <w:color w:val="337AB7"/>
            <w:sz w:val="27"/>
            <w:szCs w:val="27"/>
            <w:bdr w:val="threeDEmboss" w:sz="12" w:space="8" w:color="auto" w:frame="1"/>
          </w:rPr>
          <w:t>Контакты</w:t>
        </w:r>
      </w:hyperlink>
    </w:p>
    <w:p w:rsidR="00E25EB4" w:rsidRDefault="00E25EB4" w:rsidP="00E25E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750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6"/>
            <w:rFonts w:ascii="Arial" w:hAnsi="Arial" w:cs="Arial"/>
            <w:color w:val="337AB7"/>
            <w:sz w:val="27"/>
            <w:szCs w:val="27"/>
            <w:bdr w:val="threeDEmboss" w:sz="12" w:space="8" w:color="auto" w:frame="1"/>
          </w:rPr>
          <w:t>Принять участие</w:t>
        </w:r>
      </w:hyperlink>
    </w:p>
    <w:p w:rsidR="00E25EB4" w:rsidRDefault="00E25EB4" w:rsidP="00E25EB4">
      <w:pPr>
        <w:pStyle w:val="2"/>
        <w:shd w:val="clear" w:color="auto" w:fill="FFFFFF"/>
        <w:spacing w:before="0" w:beforeAutospacing="0" w:after="0" w:afterAutospacing="0"/>
        <w:rPr>
          <w:caps/>
          <w:color w:val="332F2E"/>
          <w:sz w:val="42"/>
          <w:szCs w:val="42"/>
        </w:rPr>
      </w:pPr>
      <w:r>
        <w:rPr>
          <w:caps/>
          <w:color w:val="332F2E"/>
          <w:sz w:val="42"/>
          <w:szCs w:val="42"/>
        </w:rPr>
        <w:t>О КОНФЕРЕНЦИИ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Style w:val="a7"/>
          <w:rFonts w:ascii="Georgia" w:hAnsi="Georgia" w:cs="Arial"/>
          <w:color w:val="000000"/>
          <w:sz w:val="21"/>
          <w:szCs w:val="21"/>
        </w:rPr>
        <w:t>Организатор: </w:t>
      </w:r>
      <w:r>
        <w:rPr>
          <w:rFonts w:ascii="Georgia" w:hAnsi="Georgia" w:cs="Arial"/>
          <w:color w:val="000000"/>
          <w:sz w:val="21"/>
          <w:szCs w:val="21"/>
        </w:rPr>
        <w:t>Евразийский банк развития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Style w:val="a7"/>
          <w:rFonts w:ascii="Georgia" w:hAnsi="Georgia" w:cs="Arial"/>
          <w:color w:val="000000"/>
          <w:sz w:val="21"/>
          <w:szCs w:val="21"/>
        </w:rPr>
        <w:t>Оператор:</w:t>
      </w:r>
      <w:r>
        <w:rPr>
          <w:rFonts w:ascii="Georgia" w:hAnsi="Georgia" w:cs="Arial"/>
          <w:color w:val="000000"/>
          <w:sz w:val="21"/>
          <w:szCs w:val="21"/>
        </w:rPr>
        <w:t> ООО «ГК «ИТБ»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Style w:val="a7"/>
          <w:rFonts w:ascii="Georgia" w:hAnsi="Georgia" w:cs="Arial"/>
          <w:color w:val="000000"/>
          <w:sz w:val="21"/>
          <w:szCs w:val="21"/>
        </w:rPr>
        <w:t xml:space="preserve">Место </w:t>
      </w:r>
      <w:proofErr w:type="spellStart"/>
      <w:r>
        <w:rPr>
          <w:rStyle w:val="a7"/>
          <w:rFonts w:ascii="Georgia" w:hAnsi="Georgia" w:cs="Arial"/>
          <w:color w:val="000000"/>
          <w:sz w:val="21"/>
          <w:szCs w:val="21"/>
        </w:rPr>
        <w:t>проведения</w:t>
      </w:r>
      <w:proofErr w:type="gramStart"/>
      <w:r>
        <w:rPr>
          <w:rStyle w:val="a7"/>
          <w:rFonts w:ascii="Georgia" w:hAnsi="Georgia" w:cs="Arial"/>
          <w:color w:val="000000"/>
          <w:sz w:val="21"/>
          <w:szCs w:val="21"/>
        </w:rPr>
        <w:t>:</w:t>
      </w:r>
      <w:r>
        <w:rPr>
          <w:rFonts w:ascii="Georgia" w:hAnsi="Georgia" w:cs="Arial"/>
          <w:color w:val="000000"/>
          <w:sz w:val="21"/>
          <w:szCs w:val="21"/>
        </w:rPr>
        <w:t>Ц</w:t>
      </w:r>
      <w:proofErr w:type="gramEnd"/>
      <w:r>
        <w:rPr>
          <w:rFonts w:ascii="Georgia" w:hAnsi="Georgia" w:cs="Arial"/>
          <w:color w:val="000000"/>
          <w:sz w:val="21"/>
          <w:szCs w:val="21"/>
        </w:rPr>
        <w:t>ентр</w:t>
      </w:r>
      <w:proofErr w:type="spellEnd"/>
      <w:r>
        <w:rPr>
          <w:rFonts w:ascii="Georgia" w:hAnsi="Georgia" w:cs="Arial"/>
          <w:color w:val="000000"/>
          <w:sz w:val="21"/>
          <w:szCs w:val="21"/>
        </w:rPr>
        <w:t xml:space="preserve"> международной торговли (Москва, Краснопресненская наб., д. 12)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Style w:val="a7"/>
          <w:rFonts w:ascii="Georgia" w:hAnsi="Georgia" w:cs="Arial"/>
          <w:color w:val="000000"/>
          <w:sz w:val="21"/>
          <w:szCs w:val="21"/>
        </w:rPr>
        <w:t>Дата проведения:</w:t>
      </w:r>
      <w:r>
        <w:rPr>
          <w:rFonts w:ascii="Georgia" w:hAnsi="Georgia" w:cs="Arial"/>
          <w:color w:val="000000"/>
          <w:sz w:val="21"/>
          <w:szCs w:val="21"/>
        </w:rPr>
        <w:t> 22 ноября 2018 г.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Style w:val="a7"/>
          <w:rFonts w:ascii="Georgia" w:hAnsi="Georgia" w:cs="Arial"/>
          <w:color w:val="000000"/>
          <w:sz w:val="21"/>
          <w:szCs w:val="21"/>
        </w:rPr>
        <w:t>Время проведения:</w:t>
      </w:r>
      <w:r>
        <w:rPr>
          <w:rFonts w:ascii="Georgia" w:hAnsi="Georgia" w:cs="Arial"/>
          <w:color w:val="000000"/>
          <w:sz w:val="21"/>
          <w:szCs w:val="21"/>
        </w:rPr>
        <w:t> с 10:00 до 18:00</w:t>
      </w:r>
    </w:p>
    <w:p w:rsidR="004A6F26" w:rsidRDefault="004A6F26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hyperlink r:id="rId13" w:history="1">
        <w:r w:rsidRPr="003E4145">
          <w:rPr>
            <w:rStyle w:val="a6"/>
            <w:rFonts w:ascii="Georgia" w:hAnsi="Georgia" w:cs="Arial"/>
            <w:sz w:val="21"/>
            <w:szCs w:val="21"/>
          </w:rPr>
          <w:t>http://itb-expo.ru/ru/konferentsii-seminary/konferentsii/evrazijskaya-ekonomicheskaya-integratsiya-xiii-mezhdunarodnaya-konferentsiya#http-itb-expo-ru-ru-uslovia-uchastia</w:t>
        </w:r>
      </w:hyperlink>
    </w:p>
    <w:p w:rsidR="004A6F26" w:rsidRDefault="004A6F26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bookmarkStart w:id="0" w:name="_GoBack"/>
      <w:bookmarkEnd w:id="0"/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В работе конференции примут участие руководители министерств и ведомств, Евразийской экономической комиссии, национальных компаний, представители международных финансовых организаций, научных и деловых кругов государств – участников Банка, зарубежные ученые и эксперты. 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Ключевые темы:</w:t>
      </w:r>
    </w:p>
    <w:p w:rsidR="00E25EB4" w:rsidRDefault="00E25EB4" w:rsidP="00E25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Актуальная повестка евразийской интеграции</w:t>
      </w:r>
    </w:p>
    <w:p w:rsidR="00E25EB4" w:rsidRDefault="00E25EB4" w:rsidP="00E25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Торговое финансирование: роль экспортных аген</w:t>
      </w:r>
      <w:proofErr w:type="gramStart"/>
      <w:r>
        <w:rPr>
          <w:rFonts w:ascii="Georgia" w:hAnsi="Georgia" w:cs="Arial"/>
          <w:color w:val="000000"/>
          <w:sz w:val="21"/>
          <w:szCs w:val="21"/>
        </w:rPr>
        <w:t>тств в п</w:t>
      </w:r>
      <w:proofErr w:type="gramEnd"/>
      <w:r>
        <w:rPr>
          <w:rFonts w:ascii="Georgia" w:hAnsi="Georgia" w:cs="Arial"/>
          <w:color w:val="000000"/>
          <w:sz w:val="21"/>
          <w:szCs w:val="21"/>
        </w:rPr>
        <w:t>оддержке процессов интеграции</w:t>
      </w:r>
    </w:p>
    <w:p w:rsidR="00E25EB4" w:rsidRDefault="00E25EB4" w:rsidP="00E25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Евразийский инфраструктурный прорыв: национальные проекты как драйвер развития и интеграции</w:t>
      </w:r>
    </w:p>
    <w:p w:rsidR="00E25EB4" w:rsidRDefault="00E25EB4" w:rsidP="00E25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Энергетика: в поисках баланса между традиционными и новыми источниками энергии</w:t>
      </w:r>
    </w:p>
    <w:p w:rsidR="00E25EB4" w:rsidRDefault="00E25EB4" w:rsidP="00E25E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Формирование единого расчетного пространства ЕАЭС в национальных валютах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Конференции ЕАБР – это эффективный инструмент общения и обмена информацией для представителей финансовых институтов, органов власти, субъектов экономической деятельности государств – участников Банка. 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 xml:space="preserve">Евразийский банк развития (ЕАБР) является международной финансовой организацией, призванной содействовать экономическому росту государств-участников, расширению торгово-экономических связей между ними и развитию интеграционных процессов на евразийском </w:t>
      </w:r>
      <w:proofErr w:type="gramStart"/>
      <w:r>
        <w:rPr>
          <w:rFonts w:ascii="Georgia" w:hAnsi="Georgia" w:cs="Arial"/>
          <w:color w:val="000000"/>
          <w:sz w:val="21"/>
          <w:szCs w:val="21"/>
        </w:rPr>
        <w:t>пространстве</w:t>
      </w:r>
      <w:proofErr w:type="gramEnd"/>
      <w:r>
        <w:rPr>
          <w:rFonts w:ascii="Georgia" w:hAnsi="Georgia" w:cs="Arial"/>
          <w:color w:val="000000"/>
          <w:sz w:val="21"/>
          <w:szCs w:val="21"/>
        </w:rPr>
        <w:t xml:space="preserve"> путем осуществления инвестиционной деятельности.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Акционерами банка являются шесть государств: Россия, Армения, Белоруссия, Казахстан, Киргизия и Таджикистан. Штаб-квартира банка расположена в Алма-Ате.</w:t>
      </w:r>
    </w:p>
    <w:p w:rsidR="00E25EB4" w:rsidRDefault="00E25EB4" w:rsidP="00E25EB4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1"/>
          <w:szCs w:val="21"/>
        </w:rPr>
        <w:t> </w:t>
      </w:r>
    </w:p>
    <w:p w:rsidR="00E25EB4" w:rsidRDefault="00E25EB4" w:rsidP="00E25EB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СКАЧАТЬ ПРОГРАММУ</w:t>
      </w:r>
    </w:p>
    <w:p w:rsidR="00E25EB4" w:rsidRDefault="00E25EB4" w:rsidP="00E25EB4">
      <w:pPr>
        <w:pStyle w:val="2"/>
        <w:shd w:val="clear" w:color="auto" w:fill="FFFFFF"/>
        <w:spacing w:before="0" w:beforeAutospacing="0" w:after="0" w:afterAutospacing="0"/>
        <w:rPr>
          <w:caps/>
          <w:color w:val="332F2E"/>
          <w:sz w:val="42"/>
          <w:szCs w:val="42"/>
        </w:rPr>
      </w:pPr>
      <w:r>
        <w:rPr>
          <w:caps/>
          <w:color w:val="332F2E"/>
          <w:sz w:val="42"/>
          <w:szCs w:val="42"/>
        </w:rPr>
        <w:t>ПРОГРАММА</w:t>
      </w:r>
    </w:p>
    <w:p w:rsidR="00E25EB4" w:rsidRDefault="00E25EB4" w:rsidP="00E25EB4">
      <w:pPr>
        <w:shd w:val="clear" w:color="auto" w:fill="FFFFFF"/>
        <w:rPr>
          <w:color w:val="332F2E"/>
          <w:sz w:val="27"/>
          <w:szCs w:val="27"/>
        </w:rPr>
      </w:pPr>
      <w:r>
        <w:rPr>
          <w:color w:val="332F2E"/>
          <w:sz w:val="27"/>
          <w:szCs w:val="27"/>
        </w:rPr>
        <w:t>22 Ноября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09:00 — 10:00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Регистрация участников, приветственный кофе.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10:00 — 10:10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 xml:space="preserve">Приветственное слово Председателя Правления ЕАБР Андрея </w:t>
      </w:r>
      <w:proofErr w:type="spellStart"/>
      <w:r>
        <w:rPr>
          <w:color w:val="2E6F6F"/>
          <w:sz w:val="36"/>
          <w:szCs w:val="36"/>
        </w:rPr>
        <w:t>Бельянинова</w:t>
      </w:r>
      <w:proofErr w:type="spellEnd"/>
      <w:r>
        <w:rPr>
          <w:color w:val="2E6F6F"/>
          <w:sz w:val="36"/>
          <w:szCs w:val="36"/>
        </w:rPr>
        <w:t>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10:10 — 12:00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Пленарное заседание. Актуальная повестка евразийской интеграции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lastRenderedPageBreak/>
        <w:t>12:00 — 12:30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Пресс-брифинг.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12:00 — 12:30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Кофе-брейк.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12:30 — 13:30</w:t>
      </w:r>
    </w:p>
    <w:p w:rsidR="00E25EB4" w:rsidRDefault="00E25EB4" w:rsidP="00E25EB4">
      <w:pPr>
        <w:pStyle w:val="showlabelimg"/>
        <w:spacing w:before="0" w:beforeAutospacing="0" w:after="150" w:afterAutospacing="0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Сессия институтов развития.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13:30 — 14:30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Обед.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14:30 — 16:00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Работа в секциях.</w:t>
      </w:r>
    </w:p>
    <w:p w:rsidR="00E25EB4" w:rsidRDefault="00E25EB4" w:rsidP="00E25EB4">
      <w:pPr>
        <w:pStyle w:val="showlabelimg"/>
        <w:spacing w:before="0" w:beforeAutospacing="0" w:after="150" w:afterAutospacing="0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Секция 1. Торговое финансирование: роль экспортных аген</w:t>
      </w:r>
      <w:proofErr w:type="gramStart"/>
      <w:r>
        <w:rPr>
          <w:color w:val="2E6F6F"/>
          <w:sz w:val="36"/>
          <w:szCs w:val="36"/>
        </w:rPr>
        <w:t>тств в п</w:t>
      </w:r>
      <w:proofErr w:type="gramEnd"/>
      <w:r>
        <w:rPr>
          <w:color w:val="2E6F6F"/>
          <w:sz w:val="36"/>
          <w:szCs w:val="36"/>
        </w:rPr>
        <w:t>оддержке процессов интеграции.</w:t>
      </w:r>
    </w:p>
    <w:p w:rsidR="00E25EB4" w:rsidRDefault="00E25EB4" w:rsidP="00E25EB4">
      <w:pPr>
        <w:pStyle w:val="showlabelimg"/>
        <w:spacing w:before="0" w:beforeAutospacing="0" w:after="150" w:afterAutospacing="0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Секция 2. Евразийский инфраструктурный прорыв: национальные проекты как драйвер развития и интеграции.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16:00 — 16:30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Кофе-брейк.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t>16:30 — 18:00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Работа в секциях.</w:t>
      </w:r>
    </w:p>
    <w:p w:rsidR="00E25EB4" w:rsidRDefault="00E25EB4" w:rsidP="00E25EB4">
      <w:pPr>
        <w:pStyle w:val="showlabelimg"/>
        <w:spacing w:before="0" w:beforeAutospacing="0" w:after="150" w:afterAutospacing="0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Секция 3. Энергетика: в поисках баланса между традиционными и новыми источниками энергии.</w:t>
      </w:r>
    </w:p>
    <w:p w:rsidR="00E25EB4" w:rsidRDefault="00E25EB4" w:rsidP="00E25EB4">
      <w:pPr>
        <w:pStyle w:val="showlabelimg"/>
        <w:spacing w:before="0" w:beforeAutospacing="0" w:after="150" w:afterAutospacing="0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Секция 4. Формирование единого расчетного пространства ЕАЭС в национальных валютах.</w:t>
      </w:r>
    </w:p>
    <w:p w:rsidR="00E25EB4" w:rsidRDefault="00E25EB4" w:rsidP="00E25EB4">
      <w:pPr>
        <w:pStyle w:val="showlabelimg"/>
        <w:spacing w:before="0" w:beforeAutospacing="0" w:after="150" w:afterAutospacing="0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Специальная секция. Гуманитарная и культурная интеграция.</w:t>
      </w:r>
    </w:p>
    <w:p w:rsidR="00E25EB4" w:rsidRDefault="00E25EB4" w:rsidP="00E25EB4">
      <w:pPr>
        <w:shd w:val="clear" w:color="auto" w:fill="FFFFFF"/>
        <w:textAlignment w:val="top"/>
        <w:rPr>
          <w:color w:val="8C8C8C"/>
          <w:sz w:val="36"/>
          <w:szCs w:val="36"/>
        </w:rPr>
      </w:pPr>
      <w:r>
        <w:rPr>
          <w:color w:val="8C8C8C"/>
          <w:sz w:val="36"/>
          <w:szCs w:val="36"/>
        </w:rPr>
        <w:lastRenderedPageBreak/>
        <w:t>18:00</w:t>
      </w:r>
    </w:p>
    <w:p w:rsidR="00E25EB4" w:rsidRDefault="00E25EB4" w:rsidP="00E25EB4">
      <w:pPr>
        <w:shd w:val="clear" w:color="auto" w:fill="FFFFFF"/>
        <w:rPr>
          <w:color w:val="2E6F6F"/>
          <w:sz w:val="36"/>
          <w:szCs w:val="36"/>
        </w:rPr>
      </w:pPr>
      <w:r>
        <w:rPr>
          <w:color w:val="2E6F6F"/>
          <w:sz w:val="36"/>
          <w:szCs w:val="36"/>
        </w:rPr>
        <w:t>Фуршет</w:t>
      </w:r>
    </w:p>
    <w:p w:rsidR="001561FE" w:rsidRDefault="001561FE" w:rsidP="001561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1"/>
          <w:szCs w:val="21"/>
        </w:rPr>
      </w:pPr>
    </w:p>
    <w:p w:rsidR="001561FE" w:rsidRDefault="001561FE" w:rsidP="001561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1"/>
          <w:szCs w:val="21"/>
        </w:rPr>
      </w:pPr>
    </w:p>
    <w:p w:rsidR="000A0158" w:rsidRDefault="000A0158" w:rsidP="001561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1"/>
          <w:szCs w:val="21"/>
        </w:rPr>
      </w:pPr>
    </w:p>
    <w:p w:rsidR="000A0158" w:rsidRDefault="000A0158" w:rsidP="001561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Участие в конференции бесплатное. Если вы заинтересованы в участии, заполните форму регистрации на сайте. В </w:t>
      </w:r>
      <w:proofErr w:type="gramStart"/>
      <w:r>
        <w:rPr>
          <w:rFonts w:ascii="Georgia" w:hAnsi="Georgia"/>
          <w:color w:val="000000"/>
          <w:sz w:val="21"/>
          <w:szCs w:val="21"/>
          <w:shd w:val="clear" w:color="auto" w:fill="FFFFFF"/>
        </w:rPr>
        <w:t>случае</w:t>
      </w:r>
      <w:proofErr w:type="gramEnd"/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одобрения Оргкомитетом конференции мы пришлем Вам подтверждение.</w:t>
      </w:r>
    </w:p>
    <w:p w:rsidR="001561FE" w:rsidRDefault="001561FE" w:rsidP="001561FE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>Адрес проведения конференции</w:t>
      </w:r>
      <w:proofErr w:type="gramStart"/>
      <w:r>
        <w:rPr>
          <w:rFonts w:ascii="Georgia" w:hAnsi="Georgia"/>
          <w:color w:val="000000"/>
          <w:sz w:val="21"/>
          <w:szCs w:val="21"/>
        </w:rPr>
        <w:t xml:space="preserve"> :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Москва, Краснопресненская наб., д.12, подъезд № 4, этаж 2 </w:t>
      </w:r>
      <w:r>
        <w:rPr>
          <w:rFonts w:ascii="Georgia" w:hAnsi="Georgia"/>
          <w:color w:val="000000"/>
          <w:sz w:val="21"/>
          <w:szCs w:val="21"/>
        </w:rPr>
        <w:br/>
        <w:t xml:space="preserve">Центр международной торговли Москвы (ЦМТ) – один из крупнейших многопрофильных </w:t>
      </w:r>
      <w:proofErr w:type="gramStart"/>
      <w:r>
        <w:rPr>
          <w:rFonts w:ascii="Georgia" w:hAnsi="Georgia"/>
          <w:color w:val="000000"/>
          <w:sz w:val="21"/>
          <w:szCs w:val="21"/>
        </w:rPr>
        <w:t>бизнес-комплексов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России, расположенный в центре Москвы, в непосредственной близости от Кремля, Дома Правительства Российской Федерации и здания Правительства Москвы.</w:t>
      </w:r>
    </w:p>
    <w:p w:rsidR="00E25EB4" w:rsidRDefault="00E25EB4">
      <w:pPr>
        <w:rPr>
          <w:noProof/>
          <w:lang w:eastAsia="ru-RU"/>
        </w:rPr>
      </w:pPr>
    </w:p>
    <w:p w:rsidR="00E25EB4" w:rsidRDefault="00E25EB4">
      <w:pPr>
        <w:rPr>
          <w:noProof/>
          <w:lang w:eastAsia="ru-RU"/>
        </w:rPr>
      </w:pPr>
    </w:p>
    <w:p w:rsidR="00E25EB4" w:rsidRPr="00E25EB4" w:rsidRDefault="00E25EB4" w:rsidP="00E25EB4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332F2E"/>
          <w:sz w:val="42"/>
          <w:szCs w:val="42"/>
          <w:lang w:eastAsia="ru-RU"/>
        </w:rPr>
      </w:pPr>
      <w:r w:rsidRPr="00E25EB4">
        <w:rPr>
          <w:rFonts w:ascii="Times New Roman" w:eastAsia="Times New Roman" w:hAnsi="Times New Roman" w:cs="Times New Roman"/>
          <w:b/>
          <w:bCs/>
          <w:caps/>
          <w:color w:val="332F2E"/>
          <w:sz w:val="42"/>
          <w:szCs w:val="42"/>
          <w:lang w:eastAsia="ru-RU"/>
        </w:rPr>
        <w:t>КОНТАКТЫ</w:t>
      </w:r>
    </w:p>
    <w:p w:rsidR="00E25EB4" w:rsidRPr="00E25EB4" w:rsidRDefault="00E25EB4" w:rsidP="00E25E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  <w:t>Зубков Илья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  <w:t>Координатор конференции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  <w:t>+7(499) 519-64-82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Pr="00E25EB4">
          <w:rPr>
            <w:rFonts w:ascii="Times New Roman" w:eastAsia="Times New Roman" w:hAnsi="Times New Roman" w:cs="Times New Roman"/>
            <w:color w:val="8C8C8C"/>
            <w:sz w:val="27"/>
            <w:szCs w:val="27"/>
            <w:lang w:eastAsia="ru-RU"/>
          </w:rPr>
          <w:t>info@itb-expo.ru</w:t>
        </w:r>
      </w:hyperlink>
    </w:p>
    <w:p w:rsidR="00E25EB4" w:rsidRPr="00E25EB4" w:rsidRDefault="00E25EB4" w:rsidP="00E25E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  <w:t>Ильина Татьяна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  <w:t>По вопросам участия в конференции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  <w:t>+7(499) 519-64-82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Pr="00E25EB4">
          <w:rPr>
            <w:rFonts w:ascii="Times New Roman" w:eastAsia="Times New Roman" w:hAnsi="Times New Roman" w:cs="Times New Roman"/>
            <w:color w:val="8C8C8C"/>
            <w:sz w:val="27"/>
            <w:szCs w:val="27"/>
            <w:lang w:eastAsia="ru-RU"/>
          </w:rPr>
          <w:t>info@itb-expo.ru</w:t>
        </w:r>
      </w:hyperlink>
    </w:p>
    <w:p w:rsidR="00E25EB4" w:rsidRPr="00E25EB4" w:rsidRDefault="00E25EB4" w:rsidP="00E25E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  <w:t>Светляков Дмитрий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  <w:t>Представитель Евразийского банка развития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  <w:t>+7(495) 645-04-45 доб. 2746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Pr="00E25EB4">
          <w:rPr>
            <w:rFonts w:ascii="Times New Roman" w:eastAsia="Times New Roman" w:hAnsi="Times New Roman" w:cs="Times New Roman"/>
            <w:color w:val="8C8C8C"/>
            <w:sz w:val="27"/>
            <w:szCs w:val="27"/>
            <w:lang w:eastAsia="ru-RU"/>
          </w:rPr>
          <w:t>Svetliakov_DS@eabr.org</w:t>
        </w:r>
      </w:hyperlink>
    </w:p>
    <w:p w:rsidR="00E25EB4" w:rsidRPr="00E25EB4" w:rsidRDefault="00E25EB4" w:rsidP="00E25E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</w:pPr>
      <w:proofErr w:type="spellStart"/>
      <w:r w:rsidRPr="00E25EB4"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  <w:t>Сапаргалиева</w:t>
      </w:r>
      <w:proofErr w:type="spellEnd"/>
      <w:r w:rsidRPr="00E25EB4"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  <w:t xml:space="preserve"> </w:t>
      </w:r>
      <w:proofErr w:type="spellStart"/>
      <w:r w:rsidRPr="00E25EB4">
        <w:rPr>
          <w:rFonts w:ascii="Times New Roman" w:eastAsia="Times New Roman" w:hAnsi="Times New Roman" w:cs="Times New Roman"/>
          <w:color w:val="2E6F6F"/>
          <w:sz w:val="27"/>
          <w:szCs w:val="27"/>
          <w:lang w:eastAsia="ru-RU"/>
        </w:rPr>
        <w:t>Азима</w:t>
      </w:r>
      <w:proofErr w:type="spellEnd"/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332F2E"/>
          <w:sz w:val="27"/>
          <w:szCs w:val="27"/>
          <w:lang w:eastAsia="ru-RU"/>
        </w:rPr>
        <w:t>Сотрудник ЕАБР по работе со СМИ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</w:pPr>
      <w:r w:rsidRPr="00E25EB4">
        <w:rPr>
          <w:rFonts w:ascii="Times New Roman" w:eastAsia="Times New Roman" w:hAnsi="Times New Roman" w:cs="Times New Roman"/>
          <w:color w:val="8C8C8C"/>
          <w:sz w:val="27"/>
          <w:szCs w:val="27"/>
          <w:lang w:eastAsia="ru-RU"/>
        </w:rPr>
        <w:t>+7(727) 244-40-44 доб. 6147</w:t>
      </w:r>
    </w:p>
    <w:p w:rsidR="00E25EB4" w:rsidRPr="00E25EB4" w:rsidRDefault="00E25EB4" w:rsidP="00E25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Pr="00E25EB4">
          <w:rPr>
            <w:rFonts w:ascii="Times New Roman" w:eastAsia="Times New Roman" w:hAnsi="Times New Roman" w:cs="Times New Roman"/>
            <w:color w:val="8C8C8C"/>
            <w:sz w:val="27"/>
            <w:szCs w:val="27"/>
            <w:lang w:eastAsia="ru-RU"/>
          </w:rPr>
          <w:t>Svetliakov_DS@eabr.org</w:t>
        </w:r>
      </w:hyperlink>
    </w:p>
    <w:p w:rsidR="00E25EB4" w:rsidRDefault="00E25EB4">
      <w:pPr>
        <w:rPr>
          <w:noProof/>
          <w:lang w:eastAsia="ru-RU"/>
        </w:rPr>
      </w:pPr>
    </w:p>
    <w:p w:rsidR="00D16B9E" w:rsidRDefault="001561FE">
      <w:r>
        <w:rPr>
          <w:noProof/>
          <w:lang w:eastAsia="ru-RU"/>
        </w:rPr>
        <w:lastRenderedPageBreak/>
        <w:drawing>
          <wp:inline distT="0" distB="0" distL="0" distR="0">
            <wp:extent cx="5940425" cy="6307244"/>
            <wp:effectExtent l="0" t="0" r="3175" b="0"/>
            <wp:docPr id="1" name="Рисунок 1" descr="eab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br sch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6770"/>
    <w:multiLevelType w:val="multilevel"/>
    <w:tmpl w:val="F74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32044"/>
    <w:multiLevelType w:val="multilevel"/>
    <w:tmpl w:val="041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E"/>
    <w:rsid w:val="000A0158"/>
    <w:rsid w:val="001561FE"/>
    <w:rsid w:val="004A6F26"/>
    <w:rsid w:val="00D16B9E"/>
    <w:rsid w:val="00E2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5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25EB4"/>
    <w:rPr>
      <w:color w:val="0000FF"/>
      <w:u w:val="single"/>
    </w:rPr>
  </w:style>
  <w:style w:type="character" w:styleId="a7">
    <w:name w:val="Strong"/>
    <w:basedOn w:val="a0"/>
    <w:uiPriority w:val="22"/>
    <w:qFormat/>
    <w:rsid w:val="00E25EB4"/>
    <w:rPr>
      <w:b/>
      <w:bCs/>
    </w:rPr>
  </w:style>
  <w:style w:type="paragraph" w:customStyle="1" w:styleId="showlabelimg">
    <w:name w:val="show_label_img"/>
    <w:basedOn w:val="a"/>
    <w:rsid w:val="00E2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1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5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25EB4"/>
    <w:rPr>
      <w:color w:val="0000FF"/>
      <w:u w:val="single"/>
    </w:rPr>
  </w:style>
  <w:style w:type="character" w:styleId="a7">
    <w:name w:val="Strong"/>
    <w:basedOn w:val="a0"/>
    <w:uiPriority w:val="22"/>
    <w:qFormat/>
    <w:rsid w:val="00E25EB4"/>
    <w:rPr>
      <w:b/>
      <w:bCs/>
    </w:rPr>
  </w:style>
  <w:style w:type="paragraph" w:customStyle="1" w:styleId="showlabelimg">
    <w:name w:val="show_label_img"/>
    <w:basedOn w:val="a"/>
    <w:rsid w:val="00E2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8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5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358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single" w:sz="6" w:space="6" w:color="E7E7E7"/>
                            <w:left w:val="single" w:sz="6" w:space="11" w:color="E7E7E7"/>
                            <w:bottom w:val="single" w:sz="6" w:space="4" w:color="E7E7E7"/>
                            <w:right w:val="single" w:sz="6" w:space="11" w:color="E7E7E7"/>
                          </w:divBdr>
                        </w:div>
                      </w:divsChild>
                    </w:div>
                    <w:div w:id="288127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530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261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38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58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18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2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498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7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68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3227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381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40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754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472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4299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642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416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48677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673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610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237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313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5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86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9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5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776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6777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42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6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65617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0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3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338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7E7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31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597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9005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9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5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67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716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11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2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559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5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21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226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b-expo.ru/ru/konferentsii-seminary/konferentsii/evrazijskaya-ekonomicheskaya-integratsiya-xiii-mezhdunarodnaya-konferentsiya" TargetMode="External"/><Relationship Id="rId13" Type="http://schemas.openxmlformats.org/officeDocument/2006/relationships/hyperlink" Target="http://itb-expo.ru/ru/konferentsii-seminary/konferentsii/evrazijskaya-ekonomicheskaya-integratsiya-xiii-mezhdunarodnaya-konferentsiya#http-itb-expo-ru-ru-uslovia-uchastia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tb-expo.ru/ru/konferentsii-seminary/konferentsii/evrazijskaya-ekonomicheskaya-integratsiya-xiii-mezhdunarodnaya-konferentsiya" TargetMode="External"/><Relationship Id="rId12" Type="http://schemas.openxmlformats.org/officeDocument/2006/relationships/hyperlink" Target="http://itb-expo.ru/ru/eabr-conf-menu-6" TargetMode="External"/><Relationship Id="rId17" Type="http://schemas.openxmlformats.org/officeDocument/2006/relationships/hyperlink" Target="mailto:%20sapargaliyeva_as@eab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vetliakov_DS@eabr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tb-expo.ru/ru/konferentsii-seminary/konferentsii/evrazijskaya-ekonomicheskaya-integratsiya-xiii-mezhdunarodnaya-konferents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tb-expo.ru" TargetMode="External"/><Relationship Id="rId10" Type="http://schemas.openxmlformats.org/officeDocument/2006/relationships/hyperlink" Target="http://itb-expo.ru/ru/konferentsii-seminary/konferentsii/evrazijskaya-ekonomicheskaya-integratsiya-xiii-mezhdunarodnaya-konferentsiy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b-expo.ru/ru/konferentsii-seminary/konferentsii/evrazijskaya-ekonomicheskaya-integratsiya-xiii-mezhdunarodnaya-konferentsiya" TargetMode="External"/><Relationship Id="rId14" Type="http://schemas.openxmlformats.org/officeDocument/2006/relationships/hyperlink" Target="mailto:info@itb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2018-07-24T09:41:00Z</dcterms:created>
  <dcterms:modified xsi:type="dcterms:W3CDTF">2018-07-24T09:45:00Z</dcterms:modified>
</cp:coreProperties>
</file>