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EF" w:rsidRPr="00EA48EF" w:rsidRDefault="000314B5" w:rsidP="00EA48EF">
      <w:pPr>
        <w:spacing w:after="0" w:line="225" w:lineRule="atLeast"/>
        <w:ind w:firstLine="345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EA48E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Необходимость выхода экономического </w:t>
      </w:r>
      <w:proofErr w:type="gramStart"/>
      <w:r w:rsidRPr="00EA48E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мышления</w:t>
      </w:r>
      <w:proofErr w:type="gramEnd"/>
      <w:r w:rsidRPr="00EA48EF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за пределы существующего в настоящее время</w:t>
      </w:r>
      <w:bookmarkStart w:id="0" w:name="_GoBack"/>
      <w:bookmarkEnd w:id="0"/>
    </w:p>
    <w:p w:rsidR="00EA48EF" w:rsidRDefault="00EA48EF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при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приоритетным производством, целью и самоцелью жизнедеятельности является вещное, материальное производство, где разделение труда диктуется в значительной мере характером средств производства и технологией, а не интересами, способностями и потребностями людей, развитием личности человека, становится ноосферной парадигмой экономики.</w:t>
      </w:r>
    </w:p>
    <w:p w:rsidR="000314B5" w:rsidRPr="000314B5" w:rsidRDefault="000314B5" w:rsidP="000314B5">
      <w:pPr>
        <w:spacing w:before="7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 в целом должен стать на деле свободным, т. е. таким, при котором человек будет включен в неограниченную ни местом, ни временем общечеловеческую корпоративную творческую преобразующую деятельность. Приоритетное формирование личности человека и его разума по сравнению с вещным накопительством является закономерностью цивилизационного процесса.</w:t>
      </w:r>
    </w:p>
    <w:p w:rsidR="000314B5" w:rsidRPr="000314B5" w:rsidRDefault="000314B5" w:rsidP="000314B5">
      <w:pPr>
        <w:spacing w:before="7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Человечество подошло к необходимости реализации общепланетарной стратегии — обеспечения каждой страной разумной устойчивой гармонизации системы Природа — Человек — Общество. Основа — накопление за 20 веков потенциала сферы разума, знаний, культуры и НТП, а также опыта войн, конфликтов, бедности и богатства, техногенной нагрузки на планету.</w:t>
      </w:r>
    </w:p>
    <w:p w:rsidR="000314B5" w:rsidRPr="000314B5" w:rsidRDefault="000314B5" w:rsidP="000314B5">
      <w:pPr>
        <w:spacing w:before="7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Необходимо, чтобы специалисты разных областей знаний всех стран приняли участие в общественном обустройстве планеты на основе законов построения и функционирования национальных ноосферных моделей устойчивого развития, исходя из концепции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монополярного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мира при разнообразии национальных культур и биологического разнообразия.</w:t>
      </w:r>
    </w:p>
    <w:p w:rsidR="000314B5" w:rsidRPr="000314B5" w:rsidRDefault="000314B5" w:rsidP="000314B5">
      <w:pPr>
        <w:spacing w:before="60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Наше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 w:rsidR="00153D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мировое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сообщество стоит на распутье. Оно все еще пытается на основе локальных государственных интересов решать проблемы цивилизационного процесса.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мире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возникли две культуры — естественников и гуманитариев. Между ними образовалась пропасть, которая пока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углубляется и расширяется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изическое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только противостоит духовному, но и эксплуатирует через НТП его «успехи». Вместе с НТП пришли потери. Единый и цельный мир по своей сути таковым не является. Законы физики стали в мире господствовать. А человек оказался из него изъятым, превратившись в фактор развития НТП. Космос, Вселенная, Природа, НТП, Общество существуют сами по себе, и феномен Человека тоже существует сам по себе. Господствует объективизм в познании мира. Истинно научными считаются только знания, не зависящие от человека, который являет собой лишь постороннего наблюдателя.</w:t>
      </w:r>
    </w:p>
    <w:p w:rsidR="000314B5" w:rsidRPr="000314B5" w:rsidRDefault="000314B5" w:rsidP="00153DFB">
      <w:pPr>
        <w:spacing w:before="12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господстве такой мировоззренческой парадигмы осталось многое за кадром научного академического мышления и практической деятельности,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личность самого человека, его разум. Альтернативой такому мировоззрению во второй половине Х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 в. явился русский космизм с его осознанием того, что Человек — одна из составных частей природы, которые не противостоят друг другу, а рассматриваются как единая система. Человек и все, что его окружает, — частицы единой Вселенной, космического Разума. Возникло понимание того, что без создания нового мирового социально-экономического порядка, актуальность которого стала очевидна на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фоне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современных достижений НТП, не может продолжаться цивилизационный процесс всего человеческого рода на планете Земля.</w:t>
      </w:r>
    </w:p>
    <w:p w:rsidR="000314B5" w:rsidRPr="000314B5" w:rsidRDefault="000314B5" w:rsidP="000314B5">
      <w:pPr>
        <w:spacing w:before="16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Человечество подходит к необходимости выбора новой парадигмы — разумного общепланетарного общественного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социальноэкономического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обустройства. Идти по нынешнему пути — значит погибнуть.</w:t>
      </w:r>
    </w:p>
    <w:p w:rsidR="000314B5" w:rsidRPr="00153DFB" w:rsidRDefault="000314B5" w:rsidP="000314B5">
      <w:pPr>
        <w:spacing w:before="60" w:after="0" w:line="225" w:lineRule="atLeast"/>
        <w:ind w:firstLine="345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proofErr w:type="spellStart"/>
      <w:r w:rsidRPr="00153DF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Ноосферизация</w:t>
      </w:r>
      <w:proofErr w:type="spellEnd"/>
      <w:r w:rsidRPr="00153DF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есть категория всеобщего научного планетарного труда.</w:t>
      </w:r>
    </w:p>
    <w:p w:rsidR="000314B5" w:rsidRPr="000314B5" w:rsidRDefault="000314B5" w:rsidP="000314B5">
      <w:pPr>
        <w:spacing w:before="4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общественного обустройства основывается на устойчивой тенденции постиндустриальной цивилизации, ведущей все страны к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монополярному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миру во главе с ООН, ВТО и другими общепланетарными институтами.</w:t>
      </w:r>
    </w:p>
    <w:p w:rsidR="000314B5" w:rsidRPr="000314B5" w:rsidRDefault="000314B5" w:rsidP="000314B5">
      <w:pPr>
        <w:spacing w:before="1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процесс создания постиндустриальной, ноосферной экономики: постиндустриальной, ноосферной системы воспроизводства общественного продукта с приоритетной ценностью и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самоценностью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развития личности человека и сохранения природы для будущих поколений в условиях планетарной гармонизации системы Природа — Человек — Общество.</w:t>
      </w:r>
    </w:p>
    <w:p w:rsidR="000314B5" w:rsidRPr="000314B5" w:rsidRDefault="000314B5" w:rsidP="000314B5">
      <w:pPr>
        <w:spacing w:before="1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соревнование не столько за прибыль и рынки, сколько за ценности свободы, демократии и экономической этики.</w:t>
      </w:r>
    </w:p>
    <w:p w:rsidR="000314B5" w:rsidRPr="000314B5" w:rsidRDefault="000314B5" w:rsidP="000314B5">
      <w:pPr>
        <w:spacing w:before="30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интернационализация, не создающая конфликтов, она является ключом к достижению мира. Она меняет психологию человека: из борца и революционера он превращается в человека договаривающегося.</w:t>
      </w:r>
    </w:p>
    <w:p w:rsidR="000314B5" w:rsidRPr="000314B5" w:rsidRDefault="000314B5" w:rsidP="000314B5">
      <w:pPr>
        <w:spacing w:before="1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тенденция к господству сферы разума, регулированию планетарной деятельности с сохранением биологического и культурного разнообразия на основе ценности и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самоценности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человека и обеспечением приоритетного развития нематериальной сферы общественного воспроизводства, особенно науки, образования, культуры и здравоохранения.</w:t>
      </w:r>
    </w:p>
    <w:p w:rsidR="000314B5" w:rsidRPr="000314B5" w:rsidRDefault="000314B5" w:rsidP="00EA48EF">
      <w:pPr>
        <w:spacing w:before="1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означает снижения планетарных и локальных социальных стандартов, она ведет через планетарную информатизацию знания к повышению благосостояния в мировом масштабе.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корпоративность производств путем создания ТНК,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ПГ, консорциумов, кластеров и других инновационных международных альянсов.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глобализация ВТО и всемирных рынков. Они не являются причиной кризиса. Они — катализатор для большей прозрачности, предпринимательской эффективности и демократической экономической культуры.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Решающим ресурсом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соревновании глобальных рынков являются не запасы сырья конкретной страны, а неограниченность планетарных ресурсов знаний, НТП, инноваций, информации.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ущемляет свободы отдельно взятого гражданина. Она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предоставляет большой простор для деятельности и развития человека как личности и уменьшает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роль как чиновника.</w:t>
      </w:r>
    </w:p>
    <w:p w:rsidR="000314B5" w:rsidRPr="000314B5" w:rsidRDefault="000314B5" w:rsidP="000314B5">
      <w:pPr>
        <w:spacing w:before="6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путь к глобальному благосостоянию через открытие новых рынков. Это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инновационная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наукоемкость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образования, науки и ВВП.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изменение роли государства. Оно все меньше влияет как субъект хозяйствования на эффективность социально-экономического развития страны. Его функции берут на себя ТНК,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ПГ, кластеры и другие международные корпоративные системы, т. е. роль государства как субъекта хозяйствования, каким оно было до сих пор, уходит в прошлое. За государством остается роль разработчика правового поля, которое диктуется глобализацией и необходимостью вхождения страны в мировые интеллектуальные альянсы. В этой связи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уменьшается роль государственного чиновника как администратора и возрастает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роль чиновника как аналитика, прогнозиста и разумного управленца.</w:t>
      </w:r>
    </w:p>
    <w:p w:rsidR="000314B5" w:rsidRPr="000314B5" w:rsidRDefault="000314B5" w:rsidP="000314B5">
      <w:pPr>
        <w:spacing w:before="3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лишает национальные государства власти. Она ведет через глобализацию к новому партнерству между сферами экономики, политики и права на международном, планетарном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уровне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Осознание данных тенденций и закономерностей как императива развития страны в XXI в. диктует необходимость их включения в систему образования Беларуси с целью формирования ноосферного мышления у каждого, будь то специалист или чиновник.</w:t>
      </w:r>
    </w:p>
    <w:p w:rsidR="000314B5" w:rsidRPr="000314B5" w:rsidRDefault="000314B5" w:rsidP="00EA48EF">
      <w:pPr>
        <w:spacing w:before="28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Ноосферизация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есть понимание диалектики планетарного развития Человека, социально-экономической системы общества,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proofErr w:type="gramEnd"/>
    </w:p>
    <w:tbl>
      <w:tblPr>
        <w:tblW w:w="4335" w:type="dxa"/>
        <w:jc w:val="center"/>
        <w:tblCellSpacing w:w="0" w:type="dxa"/>
        <w:tblInd w:w="1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51"/>
        <w:gridCol w:w="2274"/>
        <w:gridCol w:w="604"/>
      </w:tblGrid>
      <w:tr w:rsidR="000314B5" w:rsidRPr="000314B5" w:rsidTr="000314B5">
        <w:trPr>
          <w:trHeight w:val="10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vAlign w:val="bottom"/>
            <w:hideMark/>
          </w:tcPr>
          <w:p w:rsidR="000314B5" w:rsidRPr="000314B5" w:rsidRDefault="000314B5" w:rsidP="000314B5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5"/>
                <w:szCs w:val="5"/>
                <w:lang w:eastAsia="ru-RU"/>
              </w:rPr>
              <w:t>КООССММООССФФЕЕРРА</w:t>
            </w:r>
          </w:p>
        </w:tc>
        <w:tc>
          <w:tcPr>
            <w:tcW w:w="600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</w:tr>
      <w:tr w:rsidR="000314B5" w:rsidRPr="000314B5" w:rsidTr="000314B5">
        <w:trPr>
          <w:trHeight w:val="34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vAlign w:val="bottom"/>
            <w:hideMark/>
          </w:tcPr>
          <w:p w:rsidR="000314B5" w:rsidRPr="000314B5" w:rsidRDefault="000314B5" w:rsidP="000314B5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5"/>
                <w:szCs w:val="5"/>
                <w:lang w:eastAsia="ru-RU"/>
              </w:rPr>
              <w:t>ЭККООССФФЕЕРРА</w:t>
            </w:r>
          </w:p>
        </w:tc>
        <w:tc>
          <w:tcPr>
            <w:tcW w:w="600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</w:tr>
      <w:tr w:rsidR="000314B5" w:rsidRPr="000314B5" w:rsidTr="000314B5">
        <w:trPr>
          <w:trHeight w:val="31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80" w:type="dxa"/>
            <w:vAlign w:val="bottom"/>
            <w:hideMark/>
          </w:tcPr>
          <w:p w:rsidR="000314B5" w:rsidRPr="000314B5" w:rsidRDefault="000314B5" w:rsidP="000314B5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5"/>
                <w:szCs w:val="5"/>
                <w:lang w:eastAsia="ru-RU"/>
              </w:rPr>
              <w:t>ТЕЕХХННООССФФЕЕРРА</w:t>
            </w:r>
          </w:p>
        </w:tc>
        <w:tc>
          <w:tcPr>
            <w:tcW w:w="600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</w:tr>
      <w:tr w:rsidR="000314B5" w:rsidRPr="000314B5" w:rsidTr="000314B5">
        <w:trPr>
          <w:trHeight w:val="30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Align w:val="bottom"/>
            <w:hideMark/>
          </w:tcPr>
          <w:p w:rsidR="000314B5" w:rsidRPr="000314B5" w:rsidRDefault="000314B5" w:rsidP="000314B5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</w:pPr>
            <w:proofErr w:type="spellStart"/>
            <w:r w:rsidRPr="000314B5"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  <w:t>Естест</w:t>
            </w:r>
            <w:proofErr w:type="spellEnd"/>
            <w:r w:rsidRPr="000314B5"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280" w:type="dxa"/>
            <w:vMerge w:val="restart"/>
            <w:vAlign w:val="bottom"/>
            <w:hideMark/>
          </w:tcPr>
          <w:p w:rsidR="000314B5" w:rsidRPr="000314B5" w:rsidRDefault="000314B5" w:rsidP="000314B5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6"/>
                <w:szCs w:val="6"/>
                <w:lang w:eastAsia="ru-RU"/>
              </w:rPr>
              <w:t>СООЦЦИАЛЬЬННО-</w:t>
            </w:r>
          </w:p>
        </w:tc>
        <w:tc>
          <w:tcPr>
            <w:tcW w:w="600" w:type="dxa"/>
            <w:vAlign w:val="bottom"/>
            <w:hideMark/>
          </w:tcPr>
          <w:p w:rsidR="000314B5" w:rsidRPr="000314B5" w:rsidRDefault="000314B5" w:rsidP="000314B5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0314B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Общест</w:t>
            </w:r>
            <w:proofErr w:type="spellEnd"/>
            <w:r w:rsidRPr="000314B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0314B5" w:rsidRPr="000314B5" w:rsidTr="000314B5">
        <w:trPr>
          <w:trHeight w:val="7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Merge w:val="restart"/>
            <w:vAlign w:val="bottom"/>
            <w:hideMark/>
          </w:tcPr>
          <w:p w:rsidR="000314B5" w:rsidRPr="000314B5" w:rsidRDefault="000314B5" w:rsidP="000314B5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</w:pPr>
            <w:r w:rsidRPr="000314B5"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  <w:t>венные</w:t>
            </w:r>
          </w:p>
        </w:tc>
        <w:tc>
          <w:tcPr>
            <w:tcW w:w="0" w:type="auto"/>
            <w:vMerge/>
            <w:vAlign w:val="center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0314B5" w:rsidRPr="000314B5" w:rsidRDefault="000314B5" w:rsidP="000314B5">
            <w:pPr>
              <w:spacing w:after="0" w:line="75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венные</w:t>
            </w:r>
          </w:p>
        </w:tc>
      </w:tr>
      <w:tr w:rsidR="000314B5" w:rsidRPr="000314B5" w:rsidTr="000314B5">
        <w:trPr>
          <w:trHeight w:val="120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</w:pPr>
          </w:p>
        </w:tc>
        <w:tc>
          <w:tcPr>
            <w:tcW w:w="2280" w:type="dxa"/>
            <w:vAlign w:val="bottom"/>
            <w:hideMark/>
          </w:tcPr>
          <w:p w:rsidR="000314B5" w:rsidRPr="000314B5" w:rsidRDefault="000314B5" w:rsidP="000314B5">
            <w:pPr>
              <w:spacing w:after="0" w:line="60" w:lineRule="atLeast"/>
              <w:jc w:val="center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5"/>
                <w:szCs w:val="5"/>
                <w:lang w:eastAsia="ru-RU"/>
              </w:rPr>
              <w:t>ЭККООННООММИИЧЧЕЕССККААЯ СИИССТТЕЕММА</w:t>
            </w:r>
          </w:p>
        </w:tc>
        <w:tc>
          <w:tcPr>
            <w:tcW w:w="0" w:type="auto"/>
            <w:vMerge/>
            <w:vAlign w:val="center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0314B5" w:rsidRPr="000314B5" w:rsidTr="000314B5">
        <w:trPr>
          <w:trHeight w:val="195"/>
          <w:tblCellSpacing w:w="0" w:type="dxa"/>
          <w:jc w:val="center"/>
        </w:trPr>
        <w:tc>
          <w:tcPr>
            <w:tcW w:w="6" w:type="dxa"/>
            <w:vAlign w:val="bottom"/>
            <w:hideMark/>
          </w:tcPr>
          <w:p w:rsidR="000314B5" w:rsidRPr="000314B5" w:rsidRDefault="000314B5" w:rsidP="000314B5">
            <w:pPr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  <w:tc>
          <w:tcPr>
            <w:tcW w:w="1455" w:type="dxa"/>
            <w:vAlign w:val="bottom"/>
            <w:hideMark/>
          </w:tcPr>
          <w:p w:rsidR="000314B5" w:rsidRPr="000314B5" w:rsidRDefault="000314B5" w:rsidP="000314B5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</w:pPr>
            <w:r w:rsidRPr="000314B5">
              <w:rPr>
                <w:rFonts w:ascii="Arial" w:eastAsia="Times New Roman" w:hAnsi="Arial" w:cs="Arial"/>
                <w:color w:val="0E0E0E"/>
                <w:sz w:val="15"/>
                <w:szCs w:val="15"/>
                <w:lang w:eastAsia="ru-RU"/>
              </w:rPr>
              <w:t>законы</w:t>
            </w:r>
          </w:p>
        </w:tc>
        <w:tc>
          <w:tcPr>
            <w:tcW w:w="2280" w:type="dxa"/>
            <w:vAlign w:val="bottom"/>
            <w:hideMark/>
          </w:tcPr>
          <w:p w:rsidR="000314B5" w:rsidRPr="000314B5" w:rsidRDefault="000314B5" w:rsidP="000314B5">
            <w:pPr>
              <w:spacing w:after="0" w:line="15" w:lineRule="atLeas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0314B5" w:rsidRPr="000314B5" w:rsidRDefault="000314B5" w:rsidP="000314B5">
            <w:pPr>
              <w:spacing w:after="0" w:line="165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314B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законы</w:t>
            </w:r>
          </w:p>
        </w:tc>
      </w:tr>
    </w:tbl>
    <w:p w:rsidR="000314B5" w:rsidRPr="000314B5" w:rsidRDefault="000314B5" w:rsidP="000314B5">
      <w:pPr>
        <w:spacing w:after="0" w:line="105" w:lineRule="atLeast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314B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ОББЩЩЕЕССТТВВО</w:t>
      </w:r>
    </w:p>
    <w:p w:rsidR="000314B5" w:rsidRPr="000314B5" w:rsidRDefault="000314B5" w:rsidP="000314B5">
      <w:pPr>
        <w:spacing w:before="390" w:after="0" w:line="27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ЧЕЕЛЛООВВЕЕК</w:t>
      </w:r>
    </w:p>
    <w:p w:rsidR="000314B5" w:rsidRPr="000314B5" w:rsidRDefault="000314B5" w:rsidP="000314B5">
      <w:pPr>
        <w:spacing w:before="330" w:after="0" w:line="105" w:lineRule="atLeast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314B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НООООССФФЕЕРРА</w:t>
      </w:r>
    </w:p>
    <w:p w:rsidR="000314B5" w:rsidRPr="000314B5" w:rsidRDefault="000314B5" w:rsidP="000314B5">
      <w:pPr>
        <w:spacing w:before="270" w:after="0" w:line="105" w:lineRule="atLeast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314B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БИИООССФФЕЕРРА</w:t>
      </w:r>
    </w:p>
    <w:p w:rsidR="000314B5" w:rsidRPr="000314B5" w:rsidRDefault="000314B5" w:rsidP="000314B5">
      <w:pPr>
        <w:spacing w:before="225" w:after="0" w:line="105" w:lineRule="atLeast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314B5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ПРРИИРРООДДА</w:t>
      </w:r>
    </w:p>
    <w:p w:rsidR="000314B5" w:rsidRPr="000314B5" w:rsidRDefault="000314B5" w:rsidP="000314B5">
      <w:pPr>
        <w:spacing w:before="855"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роды, техносферы и ноосферы, которая обусловливается взаимодействием всеобщих естественных и общественных законов (см. схему).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Возрастающая очевидность и «осязаемость» интеллектуальной деятельности, особенно ее ядра — сферы разума (ноосферы) как неиссякаемого и интенсивно воспроизводимого планетарного (национально-интернационального) ресурса интеллектуальной деятельности и движущей силы устойчивого социально-экономического развития Беларуси, обусловливает необходимость использования в системе категориального аппарата общественного воспроизводства специальный термин — «ноосферная экономика». Ее предметом является национальная система общественного воспроизводства разума (знания) в условиях глобализации как товара.</w:t>
      </w:r>
    </w:p>
    <w:p w:rsidR="000314B5" w:rsidRPr="00EA48EF" w:rsidRDefault="000314B5" w:rsidP="00EA48EF">
      <w:pPr>
        <w:spacing w:before="12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Ноосферная экономика как реальность в той или иной мере функционировала на всех этапах развития производительных сил и производственных отношений. Она определяла уровень и темпы научно-технического прогресса, динамику экономического роста и уровень цивилизации в целом, а по сути — глобальное противоречие цивилизационного развития человека и человечества на нашей планете как социально-экономического и биологического феноменов.</w:t>
      </w:r>
    </w:p>
    <w:p w:rsidR="000314B5" w:rsidRPr="000314B5" w:rsidRDefault="000314B5" w:rsidP="000314B5">
      <w:pPr>
        <w:spacing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настоящего времени ноосферная экономика прошла следующие этапы своего становления: по типологической классификации уровня развития производительности сил и производственных отношений — первобытнообщинный, рабовладельческий, феодально-крепостнический, азиатский, капиталистический, а по типологической характеристике производительных сил и технологии зафиксировала себя как доиндустриальный, индустриальный и постиндустриальный способы (социально-экономические системы) общественного воспроизводства.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всех этапах и при всех способах (системах) общественного воспроизводства разум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выступал в различных формах знания и воплощался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 интеллекте человека, его профессионализме (человеческом капитале), так и в технологиях, технологических укладах НТП.</w:t>
      </w:r>
    </w:p>
    <w:p w:rsidR="000314B5" w:rsidRPr="000314B5" w:rsidRDefault="000314B5" w:rsidP="000314B5">
      <w:pPr>
        <w:spacing w:before="4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сути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разум и его планетарное накопление обеспечивали развитие мировых производительных сил и производственных отношений, которые изменяли способы национального общественного воспроизводства, его целевые приоритеты и ценности.</w:t>
      </w:r>
    </w:p>
    <w:p w:rsidR="000314B5" w:rsidRPr="000314B5" w:rsidRDefault="000314B5" w:rsidP="000314B5">
      <w:pPr>
        <w:spacing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Разум, уровень его развития постоянно спасали человечество от гибели. Так, например, в период неолита земляне должны были исчезнуть с планеты, однако благодаря ноосфере (сфере разума) сумели избежать надвигавшейся глобальной катастрофы.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было и в последующие периоды жизни и деятельности людей на нашей планете. Анализ причин и условий кризисов катастрофического типа за последние две тысячи лет, проведенный Институтом экономики НАН Беларуси, убедительно подтверждает роль и значение ноосферы в цивилизационном процессе, суть которого в его воспроизводственной парадигме — обеспечении воспроизводственной гармонизации макросистемы Природа — Человек — Общество и сохранении ее для будущих поколений.</w:t>
      </w:r>
    </w:p>
    <w:p w:rsidR="000314B5" w:rsidRPr="000314B5" w:rsidRDefault="000314B5" w:rsidP="00EA48EF">
      <w:pPr>
        <w:spacing w:before="34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Обоснованию места и роли ноосферы в системе цивилизационного развития посвящено уже достаточно большое количество теоретических работ. Среди них особое значение занимают труды Т. Шардена («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Uеномен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человека»), В. И. Вернадского («Химический состав живого вещества», «Химическое строение биосферы Земли и ее окружения», «Размышления натуралиста»),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 В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Виноградова («Теория мирового разума»), Д.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Дрэпера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(«История умственного развития Европы»), Э.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Реклю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(«Человек и Земля»), В. U.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Купревича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(«Русский космизм»), Н. Моисеева («Человек и ноосфера»), В. А.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Каптюга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В. М. Матросова, В. О. Левашова, Ю. Г. Демянко («Устойчивое развитие цивилизации и место в ней России: проблемы формирования национальной стратегии»), Р. К.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Баландина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(«Область деятельности человека: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техносфера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«Перестройка биосферы», «Планета обретает разум»), А. М.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Буровского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(«Ноосферная школа»),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 Л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Андреева, П. Г. Никитенко («Цивилизационный процесс под углом ноосферного зрения»), П. Г. Никитенко («Модель устойчивого социально-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мического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развития Беларуси: проблемы формирования и эволюции», «Ноосферная экономика: стратегический императив науки, образования и практики») и др.</w:t>
      </w:r>
    </w:p>
    <w:p w:rsidR="000314B5" w:rsidRPr="000314B5" w:rsidRDefault="000314B5" w:rsidP="000314B5">
      <w:pPr>
        <w:spacing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Однако, несмотря на кажущуюся сегодня очевидность и понимание места и роли ноосферы в цивилизационном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социальноэкономическом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развитии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сути главный экономический фактор — императив остается за пределами непосредственного включения в производственные отношения, особенно на основе использования товарно-денежных отношений и непосредственной его стоимостной оценки. Более того, разум, равно как и природа, до сих пор экономической практикой используется в значительной степени на основе бесплатности или минимальной платности (низкой зарплаты). Правда, это в меньшей степени относится к развитым странам, которые создают соответствующие стимулы для привлечения носителей разума («мозгов») из других стран, особенно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менее развитых. Не является исключением в этом процессе и наша страна, которая поставляет свои интеллектуальные и природные ресурсы для развитых стран по относительно низкой цене.</w:t>
      </w:r>
    </w:p>
    <w:p w:rsidR="000314B5" w:rsidRPr="000314B5" w:rsidRDefault="000314B5" w:rsidP="000314B5">
      <w:pPr>
        <w:spacing w:before="21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сущностное явление разум, накапливаясь в различных формах знания — науке, образовании, информации, технологии, культуре, духовности, психологии и др., все в большей степени «заявляет» о необходимости «вычленять» («отчуждать») себя из предметной деятельности и непосредственно фиксировать в статистической, бухгалтерской, финансово-кредитной, налоговой и других системах учета и анализа как специфического нематериального товара — стоимостного актива ноосферной (интеллектуальной) стоимости (патентов, изобретений, программных продуктов, методик, теорий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методологий, формул, моделей, авторского права и др.).</w:t>
      </w:r>
    </w:p>
    <w:p w:rsidR="000314B5" w:rsidRPr="000314B5" w:rsidRDefault="000314B5" w:rsidP="00EA48EF">
      <w:pPr>
        <w:spacing w:before="10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Организация и управление системой общественного воспроизводства разума (кроме фундаментальных научных исследований) как товара предполагает повсеместное введение его в производственные отношения преимущественно на рыночных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принципах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экспертным оценкам, введение разума в воспроизводственный кругооборот и оборот фондов (капитала) в виде самостоятельного экономического ресурса обеспечит практически прирост ВВП Беларуси не менее чем на 3—4%, что позволит не только существенно (легально) повысить уровень жизни всех людей, особенно занятых интеллектуальным трудом, но и поднять на 8—10 пунктов место страны в мировой экономической системе по уровню ВВП на душу населения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индексу развития человеческого потенциала (ИРЧП).</w:t>
      </w:r>
    </w:p>
    <w:p w:rsidR="000314B5" w:rsidRPr="000314B5" w:rsidRDefault="000314B5" w:rsidP="000314B5">
      <w:pPr>
        <w:spacing w:before="1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комплексной системы экономического (бухгалтерского) учета интеллектуальной собственности создает существенные побудительные экономические мотивы к ускоренному развитию НТП, особенно его восприимчивости действующим материальным и нематериальным производством. На этой основе возможно и повышение уровня национальной конкурентоспособности продукции, работ и услуг на мировом рынке.</w:t>
      </w:r>
    </w:p>
    <w:p w:rsidR="000314B5" w:rsidRPr="000314B5" w:rsidRDefault="000314B5" w:rsidP="000314B5">
      <w:pPr>
        <w:spacing w:before="6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Ноосферная экономика может регулироваться на основе социально ориентированной трехсекторной модели общественного воспроизводства (см. 1.3), согласно которой для получения прибавочного продукта — повышения эффективности производства очевидно приоритетное развитие разума (науки, образования) и необходимость повышения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наукоемкости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ВВП, так и самой науки и образования</w:t>
      </w:r>
      <w:proofErr w:type="gramStart"/>
      <w:r w:rsidRPr="000314B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1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314B5" w:rsidRPr="000314B5" w:rsidRDefault="000314B5" w:rsidP="000314B5">
      <w:pPr>
        <w:spacing w:before="9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 экономическим ресурсом ноосферной экономики выступает не столько информация в виде новых технологий и техники (это вторично), сколько знания и информация, обеспечивающие развитие потенциала личности человека, накопление его ноосферного товарного потенциала.</w:t>
      </w:r>
    </w:p>
    <w:p w:rsidR="000314B5" w:rsidRPr="000314B5" w:rsidRDefault="000314B5" w:rsidP="000314B5">
      <w:pPr>
        <w:spacing w:before="6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Отличительной особенностью ноосферной экономики является рост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наукоемкости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ВВП и реализация как приоритетной потребности человека — непрерывности образования на основе роста его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наукоемкости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Непрерывность образования на основе повышения его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наукоемкости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обеспечивает рост качества трудовых ресурсов и возможность перспективного роста органического строения производства,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следовательно, повышения его интенсификации и эффективности на основе НТП.</w:t>
      </w:r>
    </w:p>
    <w:p w:rsidR="000314B5" w:rsidRPr="000314B5" w:rsidRDefault="000314B5" w:rsidP="000314B5">
      <w:pPr>
        <w:spacing w:before="3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Исходя из содержания ноосферной экономики, важно осуществить корректировку действующей классификации и трактовки научного знания и выделить науку фундаментальную, прикладную и образовательную.</w:t>
      </w:r>
    </w:p>
    <w:p w:rsidR="000314B5" w:rsidRPr="000314B5" w:rsidRDefault="000314B5" w:rsidP="000314B5">
      <w:pPr>
        <w:spacing w:before="7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Наука всегда была, есть и будет единой категорией всеобщего, планетарного, ноосферного труда, не имеющего, как и природа, демаркационных границ. Очевидность этого вывода особенно подтверждается развитием информационных технологий, в частности системой Интернет.</w:t>
      </w:r>
    </w:p>
    <w:p w:rsidR="000314B5" w:rsidRDefault="000314B5" w:rsidP="00EA48EF">
      <w:pPr>
        <w:spacing w:before="285" w:after="0" w:line="180" w:lineRule="atLeast"/>
        <w:ind w:firstLine="345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314B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1</w:t>
      </w:r>
      <w:proofErr w:type="gramStart"/>
      <w:r w:rsidRPr="000314B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  <w:r w:rsidRPr="000314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proofErr w:type="gramEnd"/>
      <w:r w:rsidRPr="000314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м. более подробно: Никитенко П. Г. Модель устойчивого </w:t>
      </w:r>
      <w:proofErr w:type="spellStart"/>
      <w:r w:rsidRPr="000314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социальноэкономического</w:t>
      </w:r>
      <w:proofErr w:type="spellEnd"/>
      <w:r w:rsidRPr="000314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развития Беларуси: проблемы формирования и эволюции. Мн.: Право и экономика, 2000.</w:t>
      </w:r>
    </w:p>
    <w:p w:rsidR="00EA48EF" w:rsidRPr="00EA48EF" w:rsidRDefault="00EA48EF" w:rsidP="00EA48EF">
      <w:pPr>
        <w:spacing w:before="285" w:after="0" w:line="180" w:lineRule="atLeast"/>
        <w:ind w:firstLine="345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Наука в системе понятия ноосферной экономики может классифицироваться как единое целое в виде фундаментальных и прикладных исследований, выступая в форме фундаментального, прикладного или фундаментально-прикладного научного товара, работ (услуг).</w:t>
      </w:r>
    </w:p>
    <w:p w:rsidR="000314B5" w:rsidRPr="000314B5" w:rsidRDefault="000314B5" w:rsidP="00EA48EF">
      <w:pPr>
        <w:spacing w:before="105" w:after="0" w:line="22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ноосферной экономике возрастает роль взаимосвязи научной</w:t>
      </w:r>
      <w:proofErr w:type="gramStart"/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A48EF"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образовательной институциональных систем, которые включают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научно-исследовательские, научно-обра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зовательные и научно-тех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нологические структуры.</w:t>
      </w:r>
    </w:p>
    <w:p w:rsidR="000314B5" w:rsidRPr="000314B5" w:rsidRDefault="000314B5" w:rsidP="000314B5">
      <w:pPr>
        <w:spacing w:before="3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Научная система (наука) выступает как первичный производитель нового знания путем проведения фундаментальных и прикладных исследований.</w:t>
      </w:r>
    </w:p>
    <w:p w:rsidR="000314B5" w:rsidRPr="000314B5" w:rsidRDefault="000314B5" w:rsidP="000314B5">
      <w:pPr>
        <w:spacing w:before="3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Ключевыми воспроизводственными экономическими функциями науки являются: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воспроизводство новых знаний (разума) — разработка и накопление нового знания (разума) и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инновационной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деятельности;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новых знаний (разума) — образование людей и ко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н-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структорско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-технологическая деятельность.</w:t>
      </w:r>
    </w:p>
    <w:p w:rsidR="000314B5" w:rsidRPr="000314B5" w:rsidRDefault="000314B5" w:rsidP="000314B5">
      <w:pPr>
        <w:spacing w:before="7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Воспроизводство во взаимосвязи научного знания и научного образования как товара является приоритетным процессом цивилизационного развития. Чтобы сделать экономическую систему рациональной и эффективной, необязательно навязывать ей видение одной или нескольких личностей — скорее, необходимо поощрять разум каждого индивидуума.</w:t>
      </w:r>
    </w:p>
    <w:p w:rsidR="000314B5" w:rsidRPr="000314B5" w:rsidRDefault="000314B5" w:rsidP="00EA48EF">
      <w:pPr>
        <w:spacing w:before="75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из характерных черт ноосферной экономики состоит в признании того, что наряду с созданием нового товара — знания возрастает роль диффузии и трансфера разума. Это предполагает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усиление внимания к «распределительным отношениям мировых накоплений знаний» (сферы разума) и «национальным инновационным системам», которые выступают исполнительными устройствами и структурами использования планетарного разума в экономике как товара.</w:t>
      </w:r>
    </w:p>
    <w:p w:rsidR="000314B5" w:rsidRPr="000314B5" w:rsidRDefault="000314B5" w:rsidP="000314B5">
      <w:pPr>
        <w:spacing w:before="60"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Восприимчивость национальной экономики к использованию инноваций зависит от стимулов и наличия соответствующих институциональных научных и образовательных структур. С целью ускорения диффузии и трансфера разума (знания) важно развитие товарно-денежных отношений между научно-образовател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ь-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ной системой и производственным сектором.</w:t>
      </w:r>
    </w:p>
    <w:p w:rsidR="000314B5" w:rsidRPr="00EA48EF" w:rsidRDefault="000314B5" w:rsidP="00EA48EF">
      <w:pPr>
        <w:spacing w:after="0" w:line="240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Товарно-денежное сотрудничество между наукой, образованием и производством позволяет обеспечить эффективное совмещение воспроизводства знаний и других потребительных стоимостей, включая повышение качества трудовых ресурсов.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 сбл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ижения науки, образования и производства в ноосферной экономике обеспечивает не только ликвидацию существующих границ (преград) в производственных отношениях, но и ведет к изменению характера самих производственных отношений, делая их более открытыми, взаимообусловленными и социально справедливыми.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Диффузия и трансфер разума на основе товарно-денежных отношений в общественное воспроизводство осуществляются посредством механизма развития связи на основе информационных технологий, включая Интернет и систему электронной торговли.</w:t>
      </w:r>
    </w:p>
    <w:p w:rsidR="000314B5" w:rsidRPr="000314B5" w:rsidRDefault="000314B5" w:rsidP="00EA48EF">
      <w:pPr>
        <w:spacing w:before="300" w:after="0" w:line="22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свою очередь существующие информационные технологии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соответствующая им инфраструктура связи дают импульс процессу глобального кодирования различных типов знания как товара. Все информационное знание, которое может кодироваться, передается на большие (планетарные) расстояния с достаточно ограниченными издержками. Рост объемов кодирования знаний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включения их в товарный оборот позволяет характеризовать общественное воспроизводство как «информационное общество», где значительная часть трудовых ресурсов производит,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отрабатывает и распространяет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информацию, т. е. кодируемый товарный разум (знание). Благодаря кодированию знания интеллект, разум становятся товаром, что стимулирует развитие ноосферной экономики.</w:t>
      </w:r>
    </w:p>
    <w:p w:rsidR="000314B5" w:rsidRPr="000314B5" w:rsidRDefault="000314B5" w:rsidP="000314B5">
      <w:pPr>
        <w:spacing w:before="10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Ноосферная экономика и социальная политика, работающие на основе планетарного ресурса — ноосферы, становятся основой глобализации интеграционных корпоративных процессов путем создания союзов, ТНК, ФПГ и других международных структур.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национальных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границах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научное знание (разум) воспроизводится в академических институтах, вузовской системе, в НИИ, КБ, лабораториях предприятий и организаций. При этом ноосферная экономика и социальная политика делают очевидным факт, что те страны, которые не инвестируют воспроизводство научных знаний, не включают его в товарный оборот и кругооборот, оказываются неспособными обеспечивать свое устойчивое социально-экономическое инновационное развитие. И наоборот, результаты деятельности стран (а это высокоразвитые страны), которые накоплению и развитию разума придают должное значение, в 4 раза и более превышают результаты тех стран, где ноосферная экономика и социальная политика слабо развиты.</w:t>
      </w:r>
    </w:p>
    <w:p w:rsidR="000314B5" w:rsidRPr="00EA48EF" w:rsidRDefault="000314B5" w:rsidP="00EA48EF">
      <w:pPr>
        <w:spacing w:before="16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Беларуси, в связи с ее относительно небогатым природным потенциалом, путь к благосостоянию всех — развитие ноосферной экономики и социальной политики.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того, в условиях имеющихся проблем по обеспечению устойчивого социально-экономического инновационного развития Беларуси только ноосферная экономика и социальная политика могут выполнять функции системного интеллектуального императива цивилизационного прогресса.</w:t>
      </w:r>
    </w:p>
    <w:p w:rsidR="000314B5" w:rsidRPr="000314B5" w:rsidRDefault="000314B5" w:rsidP="000314B5">
      <w:pPr>
        <w:spacing w:before="60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Следует отметить, что цивилизационное развитие любого государства лежит в плоскости именно интеллектуальной, ноосферной экономики и социальной политики. В докладе Президенту США еще в 1963 г. специальная комиссия управления по науке и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технике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сути эту роль в развитии США определяла так: «Благосостояние и обороноспособность страны сейчас определяются не сырьем, не минеральными и другими природными ресурсами</w:t>
      </w:r>
    </w:p>
    <w:p w:rsidR="000314B5" w:rsidRPr="000314B5" w:rsidRDefault="000314B5" w:rsidP="00EA48EF">
      <w:pPr>
        <w:spacing w:before="60" w:after="0" w:line="22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идаже</w:t>
      </w:r>
      <w:proofErr w:type="spell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капиталом.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Решающим источником экономического роста все более становятся знания (читай: ноосферная экономика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социальная политика.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П. Н.). Страна, не обладающая системой образования, способностью подготовить кадры высшей квалификации, неизбежно отстает в технике и технологии». На наш взгляд, только путь развития ноосферной, интеллектуальной экономики и социальной политики обеспечит продвижение Беларуси на основе формирования ноосферного мышления и мировоззрения — императива научной системы XXI в.</w:t>
      </w:r>
    </w:p>
    <w:p w:rsidR="000314B5" w:rsidRPr="000314B5" w:rsidRDefault="000314B5" w:rsidP="000314B5">
      <w:pPr>
        <w:spacing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Ноосферная концепция должна пронизывать сознание, мышление и конкретную практику всех наших людей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ученых, преподавателей, руководящих кадров, политиков и законодателей суверенной Республики Беларусь.</w:t>
      </w:r>
    </w:p>
    <w:p w:rsidR="000314B5" w:rsidRPr="000314B5" w:rsidRDefault="000314B5" w:rsidP="000314B5">
      <w:pPr>
        <w:spacing w:before="45" w:after="0" w:line="225" w:lineRule="atLeast"/>
        <w:ind w:firstLine="34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Ноосферное мышление и мировоззрение предполагают переориентацию системы науки, образования, культуры, производства на интеллектуальные, духовные, нравственные и инновационные планетарные ценности с целью смены приоритетов по отношению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материально-вещественным.</w:t>
      </w:r>
    </w:p>
    <w:p w:rsidR="000314B5" w:rsidRPr="000314B5" w:rsidRDefault="000314B5" w:rsidP="000314B5">
      <w:pPr>
        <w:spacing w:before="30" w:after="0" w:line="225" w:lineRule="atLeast"/>
        <w:ind w:firstLine="33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EA48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этом</w:t>
      </w:r>
      <w:proofErr w:type="gramEnd"/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контексте высказывание великого русского мыслителя XX в. Питирима Александровича Сорокина: «Больше знаний! Больше науки! Больше понятий! — Остальное все приложится», —</w:t>
      </w:r>
    </w:p>
    <w:p w:rsidR="000314B5" w:rsidRPr="000314B5" w:rsidRDefault="000314B5" w:rsidP="000314B5">
      <w:pPr>
        <w:spacing w:before="30" w:after="150" w:line="22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14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хотелось бы дополнить следующими словами: «Больше разума! Больше инновационного труда! — и ноосферная экономика и социальная политика в Беларуси, России, Украине и других странах мира состоятся!»</w:t>
      </w:r>
    </w:p>
    <w:p w:rsidR="00536E59" w:rsidRDefault="00536E59"/>
    <w:sectPr w:rsidR="0053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5"/>
    <w:rsid w:val="000314B5"/>
    <w:rsid w:val="00153DFB"/>
    <w:rsid w:val="00536E59"/>
    <w:rsid w:val="0055160E"/>
    <w:rsid w:val="00E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3">
    <w:name w:val="p3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3">
    <w:name w:val="p45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5">
    <w:name w:val="p3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6">
    <w:name w:val="p45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7">
    <w:name w:val="p4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8">
    <w:name w:val="p45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0">
    <w:name w:val="p46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1">
    <w:name w:val="p46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2">
    <w:name w:val="p462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3">
    <w:name w:val="p46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4">
    <w:name w:val="p46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6">
    <w:name w:val="ft36"/>
    <w:basedOn w:val="a0"/>
    <w:rsid w:val="000314B5"/>
  </w:style>
  <w:style w:type="paragraph" w:customStyle="1" w:styleId="p157">
    <w:name w:val="p1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0314B5"/>
  </w:style>
  <w:style w:type="paragraph" w:customStyle="1" w:styleId="p465">
    <w:name w:val="p46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0314B5"/>
  </w:style>
  <w:style w:type="character" w:customStyle="1" w:styleId="ft10">
    <w:name w:val="ft10"/>
    <w:basedOn w:val="a0"/>
    <w:rsid w:val="000314B5"/>
  </w:style>
  <w:style w:type="paragraph" w:customStyle="1" w:styleId="p56">
    <w:name w:val="p5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1">
    <w:name w:val="ft161"/>
    <w:basedOn w:val="a0"/>
    <w:rsid w:val="000314B5"/>
  </w:style>
  <w:style w:type="paragraph" w:customStyle="1" w:styleId="p44">
    <w:name w:val="p4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6">
    <w:name w:val="p30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0314B5"/>
  </w:style>
  <w:style w:type="paragraph" w:customStyle="1" w:styleId="p175">
    <w:name w:val="p17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314B5"/>
  </w:style>
  <w:style w:type="paragraph" w:customStyle="1" w:styleId="p57">
    <w:name w:val="p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8">
    <w:name w:val="p22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5">
    <w:name w:val="p43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3">
    <w:name w:val="p3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3">
    <w:name w:val="p26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3">
    <w:name w:val="p45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5">
    <w:name w:val="p3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6">
    <w:name w:val="p45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7">
    <w:name w:val="p4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8">
    <w:name w:val="p45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0">
    <w:name w:val="p46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1">
    <w:name w:val="p46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2">
    <w:name w:val="p462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0">
    <w:name w:val="p20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3">
    <w:name w:val="p46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4">
    <w:name w:val="p46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6">
    <w:name w:val="ft36"/>
    <w:basedOn w:val="a0"/>
    <w:rsid w:val="000314B5"/>
  </w:style>
  <w:style w:type="paragraph" w:customStyle="1" w:styleId="p157">
    <w:name w:val="p1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0314B5"/>
  </w:style>
  <w:style w:type="paragraph" w:customStyle="1" w:styleId="p465">
    <w:name w:val="p46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0314B5"/>
  </w:style>
  <w:style w:type="character" w:customStyle="1" w:styleId="ft10">
    <w:name w:val="ft10"/>
    <w:basedOn w:val="a0"/>
    <w:rsid w:val="000314B5"/>
  </w:style>
  <w:style w:type="paragraph" w:customStyle="1" w:styleId="p56">
    <w:name w:val="p5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1">
    <w:name w:val="ft161"/>
    <w:basedOn w:val="a0"/>
    <w:rsid w:val="000314B5"/>
  </w:style>
  <w:style w:type="paragraph" w:customStyle="1" w:styleId="p44">
    <w:name w:val="p4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6">
    <w:name w:val="p306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0314B5"/>
  </w:style>
  <w:style w:type="paragraph" w:customStyle="1" w:styleId="p175">
    <w:name w:val="p17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0314B5"/>
  </w:style>
  <w:style w:type="paragraph" w:customStyle="1" w:styleId="p57">
    <w:name w:val="p5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8">
    <w:name w:val="p228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3">
    <w:name w:val="p173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5">
    <w:name w:val="p435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0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825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19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602">
              <w:marLeft w:val="607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78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14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02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966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324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389">
              <w:marLeft w:val="607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92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77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805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11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477">
              <w:marLeft w:val="6075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7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54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716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17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31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80">
              <w:marLeft w:val="607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07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995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7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519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40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541">
              <w:marLeft w:val="607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61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995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2019-09-22T12:37:00Z</dcterms:created>
  <dcterms:modified xsi:type="dcterms:W3CDTF">2019-09-22T12:37:00Z</dcterms:modified>
</cp:coreProperties>
</file>