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3A" w:rsidRPr="009A3134" w:rsidRDefault="0034313A" w:rsidP="0034313A">
      <w:pPr>
        <w:shd w:val="clear" w:color="auto" w:fill="FFFFFF"/>
        <w:spacing w:after="0" w:line="240" w:lineRule="auto"/>
        <w:outlineLvl w:val="0"/>
        <w:rPr>
          <w:rFonts w:ascii="Apercu Pro Bold" w:eastAsia="Times New Roman" w:hAnsi="Apercu Pro Bold" w:cs="Times New Roman"/>
          <w:b/>
          <w:bCs/>
          <w:color w:val="212121"/>
          <w:kern w:val="36"/>
          <w:sz w:val="26"/>
          <w:szCs w:val="26"/>
          <w:lang w:eastAsia="ru-RU"/>
        </w:rPr>
      </w:pPr>
      <w:r w:rsidRPr="009A3134">
        <w:rPr>
          <w:rFonts w:ascii="Apercu Pro Bold" w:eastAsia="Times New Roman" w:hAnsi="Apercu Pro Bold" w:cs="Times New Roman"/>
          <w:b/>
          <w:bCs/>
          <w:color w:val="212121"/>
          <w:kern w:val="36"/>
          <w:sz w:val="26"/>
          <w:szCs w:val="26"/>
          <w:lang w:eastAsia="ru-RU"/>
        </w:rPr>
        <w:t>Что мы критикуем?</w:t>
      </w:r>
    </w:p>
    <w:p w:rsidR="0034313A" w:rsidRPr="009A3134" w:rsidRDefault="0034313A" w:rsidP="0034313A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212121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b/>
          <w:bCs/>
          <w:color w:val="212121"/>
          <w:sz w:val="26"/>
          <w:szCs w:val="26"/>
          <w:lang w:eastAsia="ru-RU"/>
        </w:rPr>
        <w:t>Художественный критик, обозреватель газеты «Коммерсантъ» Валентин Дьяконов продолжает дискуссию о роли критики.</w:t>
      </w:r>
    </w:p>
    <w:p w:rsidR="0034313A" w:rsidRPr="009A3134" w:rsidRDefault="0034313A" w:rsidP="009A3134">
      <w:pPr>
        <w:shd w:val="clear" w:color="auto" w:fill="FFFFFF"/>
        <w:spacing w:after="450" w:line="240" w:lineRule="auto"/>
        <w:ind w:left="-1650" w:right="-165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noProof/>
          <w:color w:val="40404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5F6A384" wp14:editId="31EBB221">
                <wp:extent cx="304800" cy="304800"/>
                <wp:effectExtent l="0" t="0" r="0" b="0"/>
                <wp:docPr id="1" name="Прямоугольник 1" descr="https://artguide.com/storage/post/771/wide_detail_pic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rtguide.com/storage/post/771/wide_detail_pictur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4Lb3zwcDAAAO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35094C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 протяжении последних месяцев на сайте «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Артгид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» развернулась интереснейшая заочная дискуссия о роли критики. Начала ее </w:t>
      </w:r>
      <w:hyperlink r:id="rId5" w:tgtFrame="_blank" w:history="1">
        <w:r w:rsidRPr="009A3134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Анна Матвеева</w:t>
        </w:r>
      </w:hyperlink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предложившая заново определить сферу компетенции и ареал распространения критического письма: «Критике предстоит обратиться к собственным истокам, поставить под вопрос свою способность суждения, правомочность этого суждения — и тщательно и детально ответить на свой же вопрос». </w:t>
      </w:r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Продолжил </w:t>
      </w:r>
      <w:hyperlink r:id="rId6" w:tgtFrame="_blank" w:history="1">
        <w:r w:rsidRPr="009A3134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Глеб </w:t>
        </w:r>
        <w:proofErr w:type="spellStart"/>
        <w:r w:rsidRPr="009A3134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Напреенко</w:t>
        </w:r>
        <w:proofErr w:type="spellEnd"/>
      </w:hyperlink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советом выйти за рамки эстетического: «…акт суждения… возможен только при контакте с чем-то третьим, — с данностью, несводимо инородной и искусству, и критике… данностью политической, идеологической, исторической, психоаналитической, швы и противоречия которой мы можем распознать в нас самих как субъектах — и, благодаря этому, в искусстве».</w:t>
      </w:r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Ни в коем случае не собираясь спорить с уважаемыми коллегами, хочу вставить в этот разговор пару слов о том, что остается за скобками и одновременно вызывает «скуку», «клаустрофобию» (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Напреенко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) или «чувство беспомощности» (Матвеева). Что же мы критикуем? Какова ситуация, в которой приходится выносить критическое суждение?</w:t>
      </w:r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 художников сегодня профессиональная деформация та же, что и у, например, балетных или театральных людей, хоть и другой интенсивности. Особенно это касается тех, кто занимается живописью: она находится на перекрестке больших исторических повествований, которые через нее больше не реализуются в общественном сознании или бессознательном и существуют только как остаточная радиация, как знание и чтение, но не зрелище.</w:t>
      </w:r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Слово «зрелище» я, с одной стороны, использую в смысле, близком «спектаклю» Ги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Дебора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: </w:t>
      </w:r>
      <w:r w:rsidRPr="009A3134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«…спектакль, взятый в своей тотальности, есть одновременно и результат, и проект существующего способа производства».</w:t>
      </w:r>
      <w:proofErr w:type="gramEnd"/>
      <w:r w:rsidRPr="009A3134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Но есть и более характерный для разговоров об искусстве смысл (связанный со зрелищем как сценичностью, драматургией, картиной как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овеществлением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так называемой четвертой стены или инсталляцией как декорацией к кино), который здесь тоже присутствует. Ведь многие признаки «общества спектакля» можно найти и в других исторических периодах, помимо современного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Дебору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западноевропейского капитализма. Он сам пишет об эпохе барокко как отправной точке для таких обществ. </w:t>
      </w: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 xml:space="preserve">Пример, который приведу, скорее, ради собственного удовольствия, нежели точности: Венеция XVIII века в картинах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Пьетро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Лонги и еще в более примитивных панорамах Габриэле Беллы, где события государственной важности и репрезентация общественной жизни слиты в едином торопливом перечислении мизансцен. </w:t>
      </w:r>
      <w:r w:rsidRPr="009A3134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(В недавней истории России аналогом Беллы может считаться примитив Павла Леонова, через которого проходило незамутненное критичностью видение базового, иерархического и даже в чем-то деисусного порядка идеологии.)</w:t>
      </w:r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Два этих смысла синтезируются, до определенного предела, в размышлениях Жака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Рансьера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о «разделении чувственного», возникших как раз-таки по поводу театра, с одной стороны, и платоновской модели полиса, с другой. Для Платона, как замечает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Рансьер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«письмо и живопись были… равноценными поверхностями немых знаков, лишенных дыхания, которое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одушевляет и восхищает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живую речь.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Плоское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не противостоит в этой логике глубокому в смысле третьего измерения. Оно противостоит “живому”». И модернистский поворот к эмансипации поверхности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Рансьер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связывает с «торжеством романной страницы над театральной сценой», что как раз и возвращает нас к «чтению и знанию» как современным техникам восприятия искусства.</w:t>
      </w:r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Тут есть один важный момент, связанный с коллективным опытом. Роман, конечно, лишен дыхания, но только до того момента, пока о нем не говорят и описанные в нем события/состояния/психологические типы не войдут в повседневный обиход на правах социальных масок или существ, которые физически отсутствуют лишь потому, что фиктивны. С картиной сложнее, и вписывать искусство в этот поворот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Рансьер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готов только в его авангардистском или тотальном проекте, то есть в единстве декоративного, станкового, архитектурного мышления. Собственно, тоска по этому — вполне мифическому, если вдаваться в детали и восстанавливать по источникам художественную инфраструктуру, — единству (например, под ярлыком «пролетарская культура» или «коллективная чувственность») и является сегодня одним из двигателей интеллектуального развития.</w:t>
      </w:r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Наверное, в любых плоскостных медиа можно найти уровень живого, когда они становятся партитурами для наших бесед и обсуждений. (Здесь следует вспомнить и практику официальных худсоветов, и нонконформистские сборища-обсуждения картин в мастерских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Юло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Соостера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и Ильи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Кабакова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.) В момент коллективного осмысления картина теряет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объектность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выбивается из товарного ряда. Но тут есть сложность (по крайней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мере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относительно искусства, осознающего свою связь с авангардистским открытием двухмерности). Она заключается в том, что художник как производитель такого рода объектов еще с 1910-х годов рассчитывает на зрителя, который мог бы стать автором его работы. Подчеркиваю, не соавтором — о «диалоге» и роли зрителя в том, чтобы художественное событие состоялось, мы много наслышаны, и почти все, что говорится об этом, неверно. Именно автором — поскольку зритель </w:t>
      </w: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 xml:space="preserve">должен знать об обстоятельствах возникновения работы и ее функциях не меньше, чем художник. Повествовательная живопись делает из зрителя персонажа через те или иные приемы навязанной идентификации. Вещественное искусство предполагает в зрителе знатока производственного процесса, способного выстроить предысторию и пережить вместе с автором («в качестве автора») актуальность появления работы.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(Об этом — легендарный диалог Пикассо и нацистского офицера по поводу «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Герники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»: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«Это вы сделали?» —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«Нет, вы».)</w:t>
      </w:r>
      <w:proofErr w:type="gramEnd"/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Такой тип художественного производства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оказывается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выключен из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деборовского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«спектакля» ровно потому, что больше не существует как всепоглощающая и бессознательная форма социального представления. К практикам объектного искусства в этом разрезе принадлежат, например, студенты Института «База», которые под руководством Анатолия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Осмоловского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исповедуют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последовательный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луддизм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относительно массовой культуры. Их фигуративные опыты нарочито любительские, а абстракция столь же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подчеркнуто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элементарна — не в том смысле, что проста, а в том, что состоит из умопостигаемых элементов и алгоритмов. Предъявлением простейших основ и приемов творчества они продолжают разработку идей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Осмоловского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о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нонспектакулярном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искусстве.</w:t>
      </w:r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На другом полюсе находится теперь не коммерческое, галерейное искусство, альтернативой которому задумывалась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нонспектакулярность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а перформативные, активистские и театральные формы, практикующиеся самыми разными политически ангажированными художниками (вспомним акции Петра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Павленского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 выставку Хаима Сокола «Спартак.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Times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New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Roman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» на «Фабрике», u/n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multitude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на площадке «Старт» и, конечно же, коллектив «Что делать»).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Эти художники пользуются средствами производства, максимально задействованными идеологией, среди которых — видео, документация, использующаяся СМИ, митинг и массовое, вовлекающее действие.</w:t>
      </w:r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Кажется, что второй подход ближе к «хореографическому» проживанию общественной жизни как формы искусства, идеализированному Платоном. Между тем, обе формы художественной практики находятся под защитой институций, ориентированных на знание и чтение (музеи, галереи, независимые площадки). Оттого-то так легко приводить в пример художников ангажированных — они находятся в самом центре этого клубка противоречий, который отнюдь не ограничивается искусством, основанном на стремлении к социальной справедливости. Стремясь к ответственному действию в эстетической сфере, институционально они располагаются на площадке, где действие невозможно, где с той секунды, когда объект появляется перед взором зрителя, начинается инерция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ретроспективизма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— поиск предыстории, подходящего ряда вещей. Эта инерция включает в себя превращение искусства в товар, но им далеко не ограничивается: она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ведет к дальнейшему уплощению языка и скрывает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возможности рассмотрения произведения как партитуры для живого исполнения. Каждый </w:t>
      </w: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 xml:space="preserve">зритель (и критик) по мере сил борется с инерцией, но ее невозможно победить на том фоне ежесекундной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музеефикации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 которую выстраивают разнообразные виды репрезентации, от музея до аккаунта в 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fldChar w:fldCharType="begin"/>
      </w: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instrText xml:space="preserve"> HYPERLINK "http://www.artguide.com/posts/767" \t "_blank" </w:instrText>
      </w: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fldChar w:fldCharType="separate"/>
      </w:r>
      <w:r w:rsidRPr="009A3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Instagram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fldChar w:fldCharType="end"/>
      </w: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Институции и сдерживают эту энтропию зрительного материала, и способствуют ей. Сдерживают постольку, поскольку являются трехм</w:t>
      </w:r>
      <w:bookmarkStart w:id="0" w:name="_GoBack"/>
      <w:bookmarkEnd w:id="0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ерными метафорами и анахронизмами общественных отношений, порождающих историю искусства. Взяв на себя роль дворца образцов, институция формирует маршрут и напряженность внимания, предоставляя зрителю возможность для театрализованной и подчас терапевтической идентификации с прошлым или современным. </w:t>
      </w:r>
      <w:r w:rsidRPr="00C37B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Инерционное движение, превращающее ряды изображений в кашу, в России сильнее, ровно потому, что до «общества спектакля» в его бесшовном варианте страна еще не развилась (и, скорее всего, не разовьется). </w:t>
      </w: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Оттого велик соблазн закрывать искусством (и не только) цивилизационные дыры — «дорогое произведение» вместо рынка, благоговеющее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предстояние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перед фактом искусства вместо человеческого достоинства, учет художественного урожая вместо анализа. Это интересная специфика, дающая широкий коридор для иконоборчества и крупноформатной критики.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Для художников, выбравших в качестве медиа улицу (того же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Павленского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Кирилла Кто или замечательной питерской группы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Gandhi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), посредника между властью и общественными представлениями о прекрасном не существует: они работают прямо там, где действует реальное законодательство.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Их безусловная яркость, правда, не сопровождается даже минимальным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соцпакетом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и </w:t>
      </w:r>
      <w:proofErr w:type="spell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ready-made</w:t>
      </w:r>
      <w:proofErr w:type="spell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аудиторией, как в случае художников и выставок в институциях.</w:t>
      </w:r>
    </w:p>
    <w:p w:rsidR="0034313A" w:rsidRPr="009A3134" w:rsidRDefault="0034313A" w:rsidP="0034313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Собственно, в противостоянии инерции и заключается творческая работа, и вестись она может по нескольким направлениям — как со стороны зрелища (то есть драматизации искусства и его раскрытия к тотальности и неразделенности нашего существования на независимые политическую, сексуальную, эстетическую сферы), так и со стороны знания и чтения (глубокого исторического и формального анализа). Специально созданных для этого институций мало, и, следовательно, всем придется взять на себя роль «коллективного организатора» — если, конечно, мы хотим понять, чем </w:t>
      </w:r>
      <w:proofErr w:type="gramStart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и</w:t>
      </w:r>
      <w:proofErr w:type="gramEnd"/>
      <w:r w:rsidRPr="009A313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зачем мы занимаемся. Это включает необходимость видеть цельность в сообществе, даже если на первый взгляд ее и нет, предполагать и поощрять общее в сотнях частных лиц. Но и требования к ним должны быть радикальными, иначе мы опять свалимся в энтропию бесконечных рядов, сравнений и интерпретаций. Ну, а если вдруг окажется, что мы больше не занимаемся искусством (это может случиться при условии, что оболочка институциональных привилегий сделается совсем тонкой), так тому и быть. </w:t>
      </w:r>
    </w:p>
    <w:p w:rsidR="006163B2" w:rsidRPr="009A3134" w:rsidRDefault="00C37BA2">
      <w:pPr>
        <w:rPr>
          <w:sz w:val="26"/>
          <w:szCs w:val="26"/>
        </w:rPr>
      </w:pPr>
      <w:hyperlink r:id="rId7" w:history="1">
        <w:r w:rsidR="00A470AD" w:rsidRPr="009A3134">
          <w:rPr>
            <w:rStyle w:val="a4"/>
            <w:sz w:val="26"/>
            <w:szCs w:val="26"/>
          </w:rPr>
          <w:t>https://artguide.com/posts/771</w:t>
        </w:r>
      </w:hyperlink>
    </w:p>
    <w:p w:rsidR="00A470AD" w:rsidRPr="009A3134" w:rsidRDefault="00A470AD">
      <w:pPr>
        <w:rPr>
          <w:sz w:val="26"/>
          <w:szCs w:val="26"/>
        </w:rPr>
      </w:pPr>
    </w:p>
    <w:sectPr w:rsidR="00A470AD" w:rsidRPr="009A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ercu Pr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3A"/>
    <w:rsid w:val="0034313A"/>
    <w:rsid w:val="0035094C"/>
    <w:rsid w:val="005900C3"/>
    <w:rsid w:val="006163B2"/>
    <w:rsid w:val="009A3134"/>
    <w:rsid w:val="00A470AD"/>
    <w:rsid w:val="00A670C6"/>
    <w:rsid w:val="00C3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3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simple-image">
    <w:name w:val="article-simple-image"/>
    <w:basedOn w:val="a"/>
    <w:rsid w:val="0034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picture-desc">
    <w:name w:val="detail-picture-desc"/>
    <w:basedOn w:val="a0"/>
    <w:rsid w:val="0034313A"/>
  </w:style>
  <w:style w:type="paragraph" w:styleId="a3">
    <w:name w:val="Normal (Web)"/>
    <w:basedOn w:val="a"/>
    <w:uiPriority w:val="99"/>
    <w:semiHidden/>
    <w:unhideWhenUsed/>
    <w:rsid w:val="0034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3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simple-image">
    <w:name w:val="article-simple-image"/>
    <w:basedOn w:val="a"/>
    <w:rsid w:val="0034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picture-desc">
    <w:name w:val="detail-picture-desc"/>
    <w:basedOn w:val="a0"/>
    <w:rsid w:val="0034313A"/>
  </w:style>
  <w:style w:type="paragraph" w:styleId="a3">
    <w:name w:val="Normal (Web)"/>
    <w:basedOn w:val="a"/>
    <w:uiPriority w:val="99"/>
    <w:semiHidden/>
    <w:unhideWhenUsed/>
    <w:rsid w:val="0034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guide.com/posts/7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guide.com/posts/676" TargetMode="External"/><Relationship Id="rId5" Type="http://schemas.openxmlformats.org/officeDocument/2006/relationships/hyperlink" Target="http://www.artguide.com/posts/6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7</cp:revision>
  <dcterms:created xsi:type="dcterms:W3CDTF">2021-02-10T11:22:00Z</dcterms:created>
  <dcterms:modified xsi:type="dcterms:W3CDTF">2021-02-10T11:53:00Z</dcterms:modified>
</cp:coreProperties>
</file>