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4F" w:rsidRPr="00A551B8" w:rsidRDefault="003C294F" w:rsidP="00A551B8">
      <w:pPr>
        <w:pStyle w:val="NoSpacing"/>
        <w:jc w:val="right"/>
        <w:rPr>
          <w:rFonts w:ascii="Times New Roman" w:hAnsi="Times New Roman"/>
          <w:i/>
          <w:iCs/>
          <w:sz w:val="32"/>
          <w:szCs w:val="32"/>
        </w:rPr>
      </w:pPr>
      <w:r w:rsidRPr="00A551B8">
        <w:rPr>
          <w:rFonts w:ascii="Times New Roman" w:hAnsi="Times New Roman"/>
          <w:i/>
          <w:iCs/>
          <w:sz w:val="32"/>
          <w:szCs w:val="32"/>
        </w:rPr>
        <w:t>Субетто А.И.</w:t>
      </w:r>
    </w:p>
    <w:p w:rsidR="003C294F" w:rsidRPr="00A551B8" w:rsidRDefault="003C294F" w:rsidP="00A551B8">
      <w:pPr>
        <w:pStyle w:val="NoSpacing"/>
        <w:jc w:val="right"/>
        <w:rPr>
          <w:rFonts w:ascii="Times New Roman" w:hAnsi="Times New Roman"/>
          <w:i/>
          <w:iCs/>
          <w:sz w:val="32"/>
          <w:szCs w:val="32"/>
        </w:rPr>
      </w:pPr>
    </w:p>
    <w:p w:rsidR="003C294F" w:rsidRDefault="003C294F" w:rsidP="00A61C05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 самоутверждением Русского Мира – Правда Истории или Онтологическая Правда</w:t>
      </w:r>
    </w:p>
    <w:p w:rsidR="003C294F" w:rsidRDefault="003C294F" w:rsidP="00A61C05">
      <w:pPr>
        <w:pStyle w:val="NoSpacing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C294F" w:rsidRDefault="003C294F" w:rsidP="00A61C05">
      <w:pPr>
        <w:pStyle w:val="NoSpacing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 российский философ Элеонора Владиленовна Баркова нап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сала научно-философский очерк, представляемый в виде отдельной книги, которую читатель держит в своих руках, – очерк на важную и актуальную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«Традиции философии и культуры Русского Мира против «новой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мальности» глобальных элит».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Мир – очень широкое по своим смыслам понятие. Он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 не только русским народом, русским языком и русской культурой, но и воплощен в истории России, как уникальной евразийской, общинной цивил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с её особой системой ценностей, «фокусом» которой выступает «Пра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да», как единство истины, добра, красоты и справедливости.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согласиться с главным тезисом Э.В.Барковой: «…только Победа Русского Мира – условие Мира будущего». Причем Победа Русского Мира – это, по автору, «Возрождение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века», под которым понимается прорыв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ловека к истинной своей человечности.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по Барковой вытекает и жизнеутверждающая миссия философии Русского Мира, «корни» которой уходят вглубь веков истории русской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туры.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«ядре» жизнеутверждающей миссии философии – экофил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софия, которая развивает учение о переходе Биосферы в Ноосферу В.И.Вернадского, 160-летие со дня рождения которого мы отмечаем 12 марта этого – 2023-го – года. 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Элеонора Владиленовна «человеко-совершенствующие проекты России и Мира будущего» связывает в очерке с наследием таких русских мыслителей и ученых, как А.В.Сухово-Кобылин, Н.И.Пирогов, И.И.Мечников, Н.И.Миклухо-Маклай, А.В.Обручев. Конечно, этот список мог бы быть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чительно расширен. Например, можно вспомнить не только известного рев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люционера-народника, но и одновременно ученого-энциклопедиста, возгл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вившего в первые годы советской истории Петроградский естественно-научный институт им. П.Ф.Лесгафта, Н.А.Морозова. Н.А.Морозов ставит проблему синтеза научных знаний в форме «мироведения». Он организует Русское общество любителей мироведения, членами которого были, напр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мер такие видные ученые как Н.И.Идельсон, А.В.Марков, Д.О.Свитский, Н.М.Штауде, М.А.Вильев, К.Э.Циолковский (почетный член). Издавался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 журнал «Мироведение» (вплоть до 1938 года).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философии и культуры Русского Мира мною было связано с Эпохой Русского Возрождения, которой я посвятил специальную моногр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фию, изданную в 2008 году, – «Эпоха Русского Возрождения в персоналиях (Титаны Русского Возрождения)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». По моей концепции Эпоха Русского Возрождения начинается с творчества Петра Великого и М.В.Ломоносова и продолжается до сих пор.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писал в этой книге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«…в истории человечества есть еще одна «Эпоха Возрождения»,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востоящая по своей ценностной базе Эпохе Западноевропейского Возрожд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– Эпоха Русского Возрождения…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Русского Возрождения – явление всемирно-историческое и резко отличающееся от Эпохи Западноевропейского Возрождения, настолько же резко, насколько это проявилось в различиях Западной и Российской (ру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ской) цивилизаций.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Русского Возрождения изначально устремляется к раскрытию «космической телесности» человека, к его Ответственности за всё сущее на Земле, к всемирности и всечеловечности, о которых, как о качестве русского человека говорил Ф.М.Достоевский.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почвой служит Русский Космизм в его глубоком, цивилизационном, вневременном понимании» (конец цитаты).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представляемая в очерке Э.В.Барковой концептуально-философская рефлексия, с её установкой на оценку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 как «Возрожд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ние», устремленное к возвышению человека до уровня ответственности за планетарную экологию, и поэтому и ставится проблема экологической 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ственности философии как таковой, становящейся экофилософией, –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развитием вернадскианского, завершающего, цикла Эпохи Русского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рождения, который перерастает в Ноосферный Прорыв всего человечества, рождающийся в России.</w:t>
      </w:r>
    </w:p>
    <w:p w:rsidR="003C294F" w:rsidRDefault="003C294F" w:rsidP="0007380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Становясь на защиту «традиций и философии Русского Мира», показ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вая их связь с «Возрождением –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», как процессом «человеко-совершенствования», направленного на «экофилософскую» революцию в сознании человека, что, на мой взгляд, является важным моментом наст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пившей Эпохи «Родов Действительного Разума» и «Родов ноосферной ист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рии», Элеонора Владиленовна Баркова одновременно правильно понимает, что это является одновременно войной «против «новой нормальности» гл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бальных элит».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моим оценкам, которые присутствуют в разработанном мною «Но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сферизме», как научно-мировоззренческой системе, человечество на рубеже 80-х – 90-х годов вступило во взаимодействии с Природой, именно на рыно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но-капиталистической системе хозяйственного природопотребления, в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вую фазу Глобальной Экологической Катастрофы. Наступила Эпоха Великого Эволюционного Перелома как Эпоха экологической агонии системы глобал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империализма мировой финансовой капиталократии во главе с США, а в более жесткой оценке – экологической гибели этой системы. Возникший 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ператив экологического выживания человечества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 есть императив его перехода к Ноосферному Экологическому Духовному Социализму.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форм проявления этой агонии и является гибридная война «З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пада» против России, поскольку «Запад», т.е. глобальный империализм во главе с США, начал войну против России с целью её расчленения,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 её природных ресурсов под свой прямой контроль, с полным уничтожен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русского народа и «Русского Мира», т.е. с той же целью, с какой гитлеро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ская Германия и вся Европа под «сапогом гитлеровского солдата», ринулись на СССР – Россию в 1941 году. Победа в Великой Отечественной войне 9 мая 1945 года поэтому становится символом будущей победы России в этой войне против «Запада», которой, по сути, стала Специальная военная операция,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занная с защитой «Русского Мира» на Украине.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Сложность ситуации состоит в том, что так называемые «глобальные элиты», т.е. «элиты», обслуживающие стратегию мировой финансовой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талократии (в первую очередь в США) на установление своего господства над миром, демонстрируют свою катастрофическую интеллектуальную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адекватность тем реальным процессам, которые происходят в мире. И «новая нормальность» – одно из выражений этой неадекватности. За этим скрывае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растущее товарно-рыночное и капиталогенное отчуждение человека, в том числе и человека-капиталиста, от реальных катастрофических процессов как в Биосфере, так и в «монолите разумного живого вещества», олицетворяем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человечеством.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устойчивости капитализма – расчеловечивание человека. Реализуя свою власть через манипуляцию сознанием своих обществ и народов мира, ведя ценностную и информационную войну против не только России, но и своих собственных народов, мировая финансовая капиталократия оказалась сама в «плену диктатуры кажимости», тем самым ускоряя процессы ближа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шего краха (распада) всей системы, называемой «коллективным Западом».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Гибридная война, которую Запад ведет против России уже более 30 лет (это подтверждал З.Бжезинский своими высказываниями и работами),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чает в себя стратегии на ликвидацию исторической памяти русского народа, на деградацию русской культуры и русского языка, на нейтрализацию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новок «Русского Мира» на сохранение традиций и ценностей, связанных с культом Правды, Красоты, Добра, Справедливости, Гармонии.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человек – «человек Правды». Знаменитые слова святого князя Александра Невского «Не в силе Бог, а в Правде!» отражали вечную устре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ленность русского народа, русского человека к Правде, к Справедливости, к миротворению, к дружбе и взаимопомощи между людьми и народами. Мы помним знаменитую речь Тараса Бульбы в знаменитой повести Гоголя «Что есть наше товарищество».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Элеонора Владиленовна Баркова поднимает фактически знамя борьбы за достоинство русской философии. Настоящий философ – это борец за правду жизни, это просветитель, это человек, который реализует самое важное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щее Дело – возвышение сознания каждого человека, сознания обществ 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родов мира на уровень понимания законов и тенденций как общественного развития, так и развития всей единой мегасистемы </w:t>
      </w:r>
      <w:r w:rsidRPr="0020390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общество-человечество-Биосфера-планеты Земля</w:t>
      </w:r>
      <w:r w:rsidRPr="0020390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 русский философ нашего времени Владимир Александрович Кутырев, незадолго до ухода из жизни, оставил как свое своеобразное зав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щание книгу в виде изложения «опыта жизненно-практического философс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вования» под красноречивым названием «Чело-век технологий, цивилизация фальшивизма». В этой книге он по сути показал такой уровень рыночно-капиталистического, и технологического, расчеловечивания человека, что за этим уровнем – только окончательная гибель человечества. Он так высказал эту свою мысль: «…когда говорят, что у человечества нет идеалов, нет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деленной цели и в целом идеологии, то не правда это. ПЕРЕСТАТЬ 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СТВОВАТЬ – ВОТ ЦЕЛЬ ВСЕГО ПРОГРЕССИВНОГО, ВЕРНЕЕ СКАЗАТЬ, ПРОГРЕССИРОВАННОГО ЧЕЛОВЕЧЕСТВА!»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(выдел. авт.). Как эта кут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ревская мысль перекликается с приговором человечеству, вызванным виден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тех преступлений против человечности, которые совершил «молодой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питализм», высказанным Жаном Батистом Ламарком еще в 1820 году: «Вследствие беззаботного отношения к будущему и равнодушию к себе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добным человек сам как бы способствует уничтожению средств к самосохр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нению и, тем самым, истреблению своего вида… Можно, пожалуй, сказать, что назначение человека заключается в том, чтобы уничтожить свой род, предварительно сделав земной шар непригодным для обитания…»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Россия, «Русский Мир» поднимает знамя борьбы за будущее человечес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 за возвышение человека на Земле к истинной человечности, которая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зана с установлением ноосферной гармонии, с переходом, в соответствии с теорией Ноосферизма, к единственной модели устойчивого развития челов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чества в будущем – научно управляемой социоприродной эволюции на базе Ноосферного Экологического Духовного Социализма, научно-образовательного общества и общественного интеллекта (или коллективного разума общества).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Научно-философский очерк, представляемый известным русским фил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софом Элеонорой Владиленовной Барковой вниманию потенциального чит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теля, делает «главное дело» – «будит его сознание», скрепляет «связь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мен», которая и есть осуществление единства традиций, социокультурной памяти и необходимых инноваций, которые призваны обеспечить «зреющий» в России Ноосферный Прорыв всего человечества, без которого у него нет Будущего.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Советский и русский философ, Владимир Георгиевич Комаров на рубеже ХХ-го и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-го веков написал монографию «Правда: онтологическое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социального разума». В ней он вводит понятие «онтологическая правда» или «правда истории» и «онтологическая ложь» или «ложь истории». Он так писал о диалектике взаимодействия этих понятий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: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обладая универсализмом и всеобщностью правды истории, её ант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под – ложь истории – всё-таки существует, но только как несамостоятельная, паразитарная форма бытия псевдоправды истории, выдающей себя, разумее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за правду. В качестве социально-исторической констелляции навязчивых лжей разделенных иерархических обществ онтическая</w:t>
      </w:r>
      <w:r w:rsidRPr="00D235D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онтологическая ложь истории конституируется в основном из объективных материальных кажим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стей, онтических</w:t>
      </w:r>
      <w:r w:rsidRPr="00D235D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онтологических общественных миражей, обладающих 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ромной энергией суггестии – способности внушить себя индивидуальному и групповому сознанию, проникая в него независимо от когнитивных намер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и иных форм сознательного волеизъявления отдельных людей и их об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ностей… Псевдоправда (ложь) истории есть не более, чем объективная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риальная кажимость, заимствующая чужую сущность – сущность правды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тории. Когда правда в очередной раз достигает возобладания над неправдой, когда начинается процесс генерализации правды истории, что происходит обычно в периоды демократических подъемов революций, выглядящих кат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строфами главных образом в глазах господствующих «верхов», тогда ложь истории рассыпается в прах и раскрывается ничтожность её внутренней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ределенности» (конец цитаты).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Наступившая Эпоха Великого Эволюционного Перелома, идущие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цессы первой фазы Глобальной Экологической Катастрофы обозначили всю рыночно-капиталистическую систему хозяйственного природопотребления как «онтологическую ложь» или «ложь истории». Действует Экологический Приговор со стороны Биосферы как «Субъекта» всему «мировому капит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лизму» (понятие Дж.Сороса), или «глобальному империализму» (в моём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ределении). Очевидно, весь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 пройдёт как ноосферная революция, т.е. как переход человечества (конечно – неравномерно) к ноосферной форме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тия, которую я определил как «Ноосферизм».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традиций философии и культуры Русского Мира (раскрытию которого и посвятила свой очерк Э.В.Баркова) в ХХ-ом веке предложило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 учение о переходе Биосферы в Ноосферу В.И.Вернадского, а затем – Ру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скую Ноосферную  Научную Школу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, частью которой является и научная школа Ноосферизма, и научная школа экофилософии Э.В.Барковой.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Эпоха утверждения Онтологической Правды, которая и есть Ноосферизм как новый путь развития.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Научно-философский очерк Элеоноры Владиленовны Барковой – вес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мый вклад в уже происходящую «вернадскианскую революцию» (понятие предложенное европейскими учеными Жаком Гриневальдом и Николасом Полуниным в 1993 году) в системе научного мировоззрения и в философии.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«Запада» против России сопровождается оголтелой русофобией. Откликаясь на этот русофобскую истерию в США и в Европе, я в марте 2022 года опубликовал научно-философское эссе «Мы – русские, какой восторг!». В нем я писал: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6"/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«Быть русским, повторю эту мысль Ф.М.Достоевского, – значит быть братом всех людей на Земле, представителям всех нардов и национальностей, быть «всечеловеком».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«Слово русского народа», обращенное к человечеству, – это русская культура, русское искусство, русская литература, представленные такими именами как М.Ломоносов, Г.Державин, А.Пушкин, М.Глинка, И.Тургенев, Ф.Достоевский, П.Чайковский, С Рахманинов, Л.Толстой, М.Горький, А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хов, Г.Уланова, В.Маяковский, Ф.Шаляпин, М.Шолохов, А.Твардовский,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риков, Репин, Айвазовский, Нестеров, Прокофьев, Шостакович, Свиридов, Есенин, Поленов, Кустодиев, А.Тихонов, Н.Рерих, А.Пахмутова и список этот бесконечен».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Научно-философский очерк Элеоноры Владиленовны Барковой есть еще одно из проявлений этого «Русского слова» как «Слова русской культуры», «Слова Русского Мира».</w:t>
      </w:r>
    </w:p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этом его качестве у него найдутся и читатели, и те, кто продолжат рефлексию над теми проблемами и вопросами, которые поставлены в этом очерке.</w:t>
      </w: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об авторе</w:t>
      </w:r>
    </w:p>
    <w:p w:rsidR="003C294F" w:rsidRDefault="003C294F" w:rsidP="00B9715C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16B3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5pt;height:92.4pt;visibility:visible">
            <v:imagedata r:id="rId6" o:title=""/>
          </v:shape>
        </w:pict>
      </w:r>
    </w:p>
    <w:p w:rsidR="003C294F" w:rsidRPr="009D3AEB" w:rsidRDefault="003C294F" w:rsidP="00B9715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D3AEB">
        <w:rPr>
          <w:rFonts w:ascii="Times New Roman" w:hAnsi="Times New Roman"/>
          <w:b/>
          <w:sz w:val="28"/>
          <w:szCs w:val="28"/>
        </w:rPr>
        <w:t xml:space="preserve">Субетто Александр Иванович: </w:t>
      </w:r>
      <w:r w:rsidRPr="009D3AEB">
        <w:rPr>
          <w:rFonts w:ascii="Times New Roman" w:hAnsi="Times New Roman"/>
          <w:sz w:val="28"/>
          <w:szCs w:val="28"/>
        </w:rPr>
        <w:t>профессор Кафедры общественных н</w:t>
      </w:r>
      <w:r w:rsidRPr="009D3AEB">
        <w:rPr>
          <w:rFonts w:ascii="Times New Roman" w:hAnsi="Times New Roman"/>
          <w:sz w:val="28"/>
          <w:szCs w:val="28"/>
        </w:rPr>
        <w:t>а</w:t>
      </w:r>
      <w:r w:rsidRPr="009D3AEB">
        <w:rPr>
          <w:rFonts w:ascii="Times New Roman" w:hAnsi="Times New Roman"/>
          <w:sz w:val="28"/>
          <w:szCs w:val="28"/>
        </w:rPr>
        <w:t>ук Северо-Западного института управления – филиала РАНХиГС при През</w:t>
      </w:r>
      <w:r w:rsidRPr="009D3AEB">
        <w:rPr>
          <w:rFonts w:ascii="Times New Roman" w:hAnsi="Times New Roman"/>
          <w:sz w:val="28"/>
          <w:szCs w:val="28"/>
        </w:rPr>
        <w:t>и</w:t>
      </w:r>
      <w:r w:rsidRPr="009D3AEB">
        <w:rPr>
          <w:rFonts w:ascii="Times New Roman" w:hAnsi="Times New Roman"/>
          <w:sz w:val="28"/>
          <w:szCs w:val="28"/>
        </w:rPr>
        <w:t>денте Российской Федерации, доктор философских наук, доктор экономич</w:t>
      </w:r>
      <w:r w:rsidRPr="009D3AEB">
        <w:rPr>
          <w:rFonts w:ascii="Times New Roman" w:hAnsi="Times New Roman"/>
          <w:sz w:val="28"/>
          <w:szCs w:val="28"/>
        </w:rPr>
        <w:t>е</w:t>
      </w:r>
      <w:r w:rsidRPr="009D3AEB">
        <w:rPr>
          <w:rFonts w:ascii="Times New Roman" w:hAnsi="Times New Roman"/>
          <w:sz w:val="28"/>
          <w:szCs w:val="28"/>
        </w:rPr>
        <w:t>ских наук, кандидат технических наук, профессор, Заслуженный деятель на</w:t>
      </w:r>
      <w:r w:rsidRPr="009D3AEB">
        <w:rPr>
          <w:rFonts w:ascii="Times New Roman" w:hAnsi="Times New Roman"/>
          <w:sz w:val="28"/>
          <w:szCs w:val="28"/>
        </w:rPr>
        <w:t>у</w:t>
      </w:r>
      <w:r w:rsidRPr="009D3AEB">
        <w:rPr>
          <w:rFonts w:ascii="Times New Roman" w:hAnsi="Times New Roman"/>
          <w:sz w:val="28"/>
          <w:szCs w:val="28"/>
        </w:rPr>
        <w:t>ки РФ, Лауреат Премии Правительства РФ, профессор Кафедры истории р</w:t>
      </w:r>
      <w:r w:rsidRPr="009D3AEB">
        <w:rPr>
          <w:rFonts w:ascii="Times New Roman" w:hAnsi="Times New Roman"/>
          <w:sz w:val="28"/>
          <w:szCs w:val="28"/>
        </w:rPr>
        <w:t>е</w:t>
      </w:r>
      <w:r w:rsidRPr="009D3AEB">
        <w:rPr>
          <w:rFonts w:ascii="Times New Roman" w:hAnsi="Times New Roman"/>
          <w:sz w:val="28"/>
          <w:szCs w:val="28"/>
        </w:rPr>
        <w:t>лигии и теологии Института истории и социальных наук РГПУ им. А.И.Герцена, почетный профессор НовГУ им. Ярослава Мудрого, почетный президент Ноосферной общественной академии наук, первый вице-президент Петровской академии  наук и искусств, председатель Философского Совета Русского Космического Общества, вице-президент Международной академии гармоничного развития человека (ЮНЕСКО), вице-президент Междунаро</w:t>
      </w:r>
      <w:r w:rsidRPr="009D3AEB">
        <w:rPr>
          <w:rFonts w:ascii="Times New Roman" w:hAnsi="Times New Roman"/>
          <w:sz w:val="28"/>
          <w:szCs w:val="28"/>
        </w:rPr>
        <w:t>д</w:t>
      </w:r>
      <w:r w:rsidRPr="009D3AEB">
        <w:rPr>
          <w:rFonts w:ascii="Times New Roman" w:hAnsi="Times New Roman"/>
          <w:sz w:val="28"/>
          <w:szCs w:val="28"/>
        </w:rPr>
        <w:t>ной ассоциации выживания человечества (ЮНИСЕФ-ЮНЕСКО), член Пр</w:t>
      </w:r>
      <w:r w:rsidRPr="009D3AEB">
        <w:rPr>
          <w:rFonts w:ascii="Times New Roman" w:hAnsi="Times New Roman"/>
          <w:sz w:val="28"/>
          <w:szCs w:val="28"/>
        </w:rPr>
        <w:t>е</w:t>
      </w:r>
      <w:r w:rsidRPr="009D3AEB">
        <w:rPr>
          <w:rFonts w:ascii="Times New Roman" w:hAnsi="Times New Roman"/>
          <w:sz w:val="28"/>
          <w:szCs w:val="28"/>
        </w:rPr>
        <w:t>зидиума Международного Высшего Ученого Совета, действительный член Российской академии естественных наук, Европейской академии естестве</w:t>
      </w:r>
      <w:r w:rsidRPr="009D3AEB">
        <w:rPr>
          <w:rFonts w:ascii="Times New Roman" w:hAnsi="Times New Roman"/>
          <w:sz w:val="28"/>
          <w:szCs w:val="28"/>
        </w:rPr>
        <w:t>н</w:t>
      </w:r>
      <w:r w:rsidRPr="009D3AEB">
        <w:rPr>
          <w:rFonts w:ascii="Times New Roman" w:hAnsi="Times New Roman"/>
          <w:sz w:val="28"/>
          <w:szCs w:val="28"/>
        </w:rPr>
        <w:t>ных наук, Международной академии психологических наук, Академии фил</w:t>
      </w:r>
      <w:r w:rsidRPr="009D3AEB">
        <w:rPr>
          <w:rFonts w:ascii="Times New Roman" w:hAnsi="Times New Roman"/>
          <w:sz w:val="28"/>
          <w:szCs w:val="28"/>
        </w:rPr>
        <w:t>о</w:t>
      </w:r>
      <w:r w:rsidRPr="009D3AEB">
        <w:rPr>
          <w:rFonts w:ascii="Times New Roman" w:hAnsi="Times New Roman"/>
          <w:sz w:val="28"/>
          <w:szCs w:val="28"/>
        </w:rPr>
        <w:t>софии хозяйства, Академии проблем качества</w:t>
      </w:r>
      <w:r>
        <w:rPr>
          <w:rFonts w:ascii="Times New Roman" w:hAnsi="Times New Roman"/>
          <w:sz w:val="28"/>
          <w:szCs w:val="28"/>
        </w:rPr>
        <w:t>, автор более 1500 научных и публицистических работ, в том числе более 450 книг.</w:t>
      </w:r>
    </w:p>
    <w:p w:rsidR="003C294F" w:rsidRPr="009538C7" w:rsidRDefault="003C294F" w:rsidP="00B9715C"/>
    <w:p w:rsidR="003C294F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94F" w:rsidRPr="005B1A13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94F" w:rsidRPr="00B07B10" w:rsidRDefault="003C294F" w:rsidP="00A61C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C294F" w:rsidRPr="00B07B10" w:rsidSect="001A6C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4F" w:rsidRDefault="003C294F" w:rsidP="00A61C05">
      <w:pPr>
        <w:spacing w:after="0" w:line="240" w:lineRule="auto"/>
      </w:pPr>
      <w:r>
        <w:separator/>
      </w:r>
    </w:p>
  </w:endnote>
  <w:endnote w:type="continuationSeparator" w:id="0">
    <w:p w:rsidR="003C294F" w:rsidRDefault="003C294F" w:rsidP="00A6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4F" w:rsidRDefault="003C294F" w:rsidP="00A61C05">
      <w:pPr>
        <w:spacing w:after="0" w:line="240" w:lineRule="auto"/>
      </w:pPr>
      <w:r>
        <w:separator/>
      </w:r>
    </w:p>
  </w:footnote>
  <w:footnote w:type="continuationSeparator" w:id="0">
    <w:p w:rsidR="003C294F" w:rsidRDefault="003C294F" w:rsidP="00A61C05">
      <w:pPr>
        <w:spacing w:after="0" w:line="240" w:lineRule="auto"/>
      </w:pPr>
      <w:r>
        <w:continuationSeparator/>
      </w:r>
    </w:p>
  </w:footnote>
  <w:footnote w:id="1">
    <w:p w:rsidR="003C294F" w:rsidRDefault="003C294F" w:rsidP="007D4197">
      <w:pPr>
        <w:pStyle w:val="NoSpacing"/>
        <w:jc w:val="both"/>
      </w:pPr>
      <w:r w:rsidRPr="007D4197">
        <w:rPr>
          <w:rStyle w:val="FootnoteReference"/>
          <w:rFonts w:ascii="Times New Roman" w:hAnsi="Times New Roman"/>
        </w:rPr>
        <w:footnoteRef/>
      </w:r>
      <w:r w:rsidRPr="007D4197">
        <w:rPr>
          <w:rFonts w:ascii="Times New Roman" w:hAnsi="Times New Roman"/>
        </w:rPr>
        <w:t xml:space="preserve"> Субетто А.И. Эпоха Русского Возрождения в персоналиях (Титаны Русского Возрождения) – </w:t>
      </w:r>
      <w:r w:rsidRPr="007D4197">
        <w:rPr>
          <w:rFonts w:ascii="Times New Roman" w:hAnsi="Times New Roman"/>
          <w:lang w:val="en-US"/>
        </w:rPr>
        <w:t>I</w:t>
      </w:r>
      <w:r w:rsidRPr="007D4197">
        <w:rPr>
          <w:rFonts w:ascii="Times New Roman" w:hAnsi="Times New Roman"/>
        </w:rPr>
        <w:t>. – СПб. – Кострома: КГУ им. Н.А.Ненкрасова, 2008. – 500с.; с. 18, 19</w:t>
      </w:r>
    </w:p>
  </w:footnote>
  <w:footnote w:id="2">
    <w:p w:rsidR="003C294F" w:rsidRDefault="003C294F" w:rsidP="00F3693A">
      <w:pPr>
        <w:pStyle w:val="NoSpacing"/>
        <w:jc w:val="both"/>
      </w:pPr>
      <w:r w:rsidRPr="00F3693A">
        <w:rPr>
          <w:rStyle w:val="FootnoteReference"/>
          <w:rFonts w:ascii="Times New Roman" w:hAnsi="Times New Roman"/>
        </w:rPr>
        <w:footnoteRef/>
      </w:r>
      <w:r w:rsidRPr="00F3693A">
        <w:rPr>
          <w:rFonts w:ascii="Times New Roman" w:hAnsi="Times New Roman"/>
        </w:rPr>
        <w:t xml:space="preserve"> Кутырев В.А. Чело-век технологий, цивилизация фальшивизма – СПб.: Алтейя, 2022. – 288с.; с. 6</w:t>
      </w:r>
    </w:p>
  </w:footnote>
  <w:footnote w:id="3">
    <w:p w:rsidR="003C294F" w:rsidRDefault="003C294F" w:rsidP="00220DD5">
      <w:pPr>
        <w:pStyle w:val="NoSpacing"/>
        <w:jc w:val="both"/>
      </w:pPr>
      <w:r w:rsidRPr="00220DD5">
        <w:rPr>
          <w:rStyle w:val="FootnoteReference"/>
          <w:rFonts w:ascii="Times New Roman" w:hAnsi="Times New Roman"/>
        </w:rPr>
        <w:footnoteRef/>
      </w:r>
      <w:r w:rsidRPr="00220DD5">
        <w:rPr>
          <w:rFonts w:ascii="Times New Roman" w:hAnsi="Times New Roman"/>
        </w:rPr>
        <w:t xml:space="preserve"> Цит. по: Зубаков В.А. Эндоэкологическое отравление и эволюция: стратегия выживания (К са</w:t>
      </w:r>
      <w:r w:rsidRPr="00220DD5">
        <w:rPr>
          <w:rFonts w:ascii="Times New Roman" w:hAnsi="Times New Roman"/>
        </w:rPr>
        <w:t>м</w:t>
      </w:r>
      <w:r w:rsidRPr="00220DD5">
        <w:rPr>
          <w:rFonts w:ascii="Times New Roman" w:hAnsi="Times New Roman"/>
        </w:rPr>
        <w:t>миту ООН «Рио+10»). – СПб.: 2002. – 86с.; с. 12</w:t>
      </w:r>
    </w:p>
  </w:footnote>
  <w:footnote w:id="4">
    <w:p w:rsidR="003C294F" w:rsidRDefault="003C294F" w:rsidP="0097374A">
      <w:pPr>
        <w:pStyle w:val="NoSpacing"/>
        <w:jc w:val="both"/>
      </w:pPr>
      <w:r>
        <w:rPr>
          <w:rStyle w:val="FootnoteReference"/>
        </w:rPr>
        <w:footnoteRef/>
      </w:r>
      <w:r>
        <w:t xml:space="preserve"> </w:t>
      </w:r>
      <w:r w:rsidRPr="005B1A13">
        <w:rPr>
          <w:rFonts w:ascii="Times New Roman" w:hAnsi="Times New Roman"/>
        </w:rPr>
        <w:t>Комаров В.Г. Правда: онтологическое основание социального разума/ Под ред. д.ф.н., д.э.н., проф. В.Я.Ельмеева – СПб.: СПбГУ, 2001. – 556с.; с. 144</w:t>
      </w:r>
    </w:p>
  </w:footnote>
  <w:footnote w:id="5">
    <w:p w:rsidR="003C294F" w:rsidRDefault="003C294F" w:rsidP="00021918">
      <w:pPr>
        <w:pStyle w:val="NoSpacing"/>
        <w:jc w:val="both"/>
      </w:pPr>
      <w:r w:rsidRPr="00021918">
        <w:rPr>
          <w:rStyle w:val="FootnoteReference"/>
          <w:rFonts w:ascii="Times New Roman" w:hAnsi="Times New Roman"/>
        </w:rPr>
        <w:footnoteRef/>
      </w:r>
      <w:r w:rsidRPr="00021918">
        <w:rPr>
          <w:rFonts w:ascii="Times New Roman" w:hAnsi="Times New Roman"/>
        </w:rPr>
        <w:t xml:space="preserve"> Субетто А.И. Ноосферная научная школа: итоги и перспективы/ Под науч. ред. д.ф.н., проф. Л.А</w:t>
      </w:r>
      <w:r>
        <w:rPr>
          <w:rFonts w:ascii="Times New Roman" w:hAnsi="Times New Roman"/>
        </w:rPr>
        <w:t>.</w:t>
      </w:r>
      <w:r w:rsidRPr="00021918">
        <w:rPr>
          <w:rFonts w:ascii="Times New Roman" w:hAnsi="Times New Roman"/>
        </w:rPr>
        <w:t>Зеленова. – СПб.: Астерион, 2012. – 76с.</w:t>
      </w:r>
    </w:p>
  </w:footnote>
  <w:footnote w:id="6">
    <w:p w:rsidR="003C294F" w:rsidRDefault="003C294F" w:rsidP="00021918">
      <w:pPr>
        <w:pStyle w:val="NoSpacing"/>
        <w:jc w:val="both"/>
      </w:pPr>
      <w:r w:rsidRPr="00021918">
        <w:rPr>
          <w:rStyle w:val="FootnoteReference"/>
          <w:rFonts w:ascii="Times New Roman" w:hAnsi="Times New Roman"/>
        </w:rPr>
        <w:footnoteRef/>
      </w:r>
      <w:r w:rsidRPr="00021918">
        <w:rPr>
          <w:rFonts w:ascii="Times New Roman" w:hAnsi="Times New Roman"/>
        </w:rPr>
        <w:t xml:space="preserve"> Субетто А.И</w:t>
      </w:r>
      <w:r>
        <w:rPr>
          <w:rFonts w:ascii="Times New Roman" w:hAnsi="Times New Roman"/>
        </w:rPr>
        <w:t>.</w:t>
      </w:r>
      <w:r w:rsidRPr="00021918">
        <w:rPr>
          <w:rFonts w:ascii="Times New Roman" w:hAnsi="Times New Roman"/>
        </w:rPr>
        <w:t xml:space="preserve"> «Мы – русские, какой восторг!»: научно-философское эссе/ Под науч. ред. д.псих.н., д.п.н., д.т.н., проф. В.В.Лукоянова. – СПб.: Астерион, 2022. – 56с.; с. 46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A0"/>
    </w:tblPr>
    <w:tblGrid>
      <w:gridCol w:w="3119"/>
      <w:gridCol w:w="3119"/>
      <w:gridCol w:w="3117"/>
    </w:tblGrid>
    <w:tr w:rsidR="003C294F" w:rsidRPr="00816B3A">
      <w:trPr>
        <w:trHeight w:val="720"/>
      </w:trPr>
      <w:tc>
        <w:tcPr>
          <w:tcW w:w="1667" w:type="pct"/>
        </w:tcPr>
        <w:p w:rsidR="003C294F" w:rsidRPr="00816B3A" w:rsidRDefault="003C294F">
          <w:pPr>
            <w:pStyle w:val="Header"/>
            <w:tabs>
              <w:tab w:val="clear" w:pos="4677"/>
              <w:tab w:val="clear" w:pos="9355"/>
            </w:tabs>
            <w:rPr>
              <w:color w:val="4472C4"/>
            </w:rPr>
          </w:pPr>
        </w:p>
      </w:tc>
      <w:tc>
        <w:tcPr>
          <w:tcW w:w="1667" w:type="pct"/>
        </w:tcPr>
        <w:p w:rsidR="003C294F" w:rsidRPr="00816B3A" w:rsidRDefault="003C294F">
          <w:pPr>
            <w:pStyle w:val="Header"/>
            <w:tabs>
              <w:tab w:val="clear" w:pos="4677"/>
              <w:tab w:val="clear" w:pos="9355"/>
            </w:tabs>
            <w:jc w:val="center"/>
            <w:rPr>
              <w:color w:val="4472C4"/>
            </w:rPr>
          </w:pPr>
        </w:p>
      </w:tc>
      <w:tc>
        <w:tcPr>
          <w:tcW w:w="1666" w:type="pct"/>
        </w:tcPr>
        <w:p w:rsidR="003C294F" w:rsidRPr="00816B3A" w:rsidRDefault="003C294F">
          <w:pPr>
            <w:pStyle w:val="Header"/>
            <w:tabs>
              <w:tab w:val="clear" w:pos="4677"/>
              <w:tab w:val="clear" w:pos="9355"/>
            </w:tabs>
            <w:jc w:val="right"/>
            <w:rPr>
              <w:color w:val="4472C4"/>
            </w:rPr>
          </w:pPr>
          <w:r w:rsidRPr="00816B3A">
            <w:rPr>
              <w:color w:val="4472C4"/>
              <w:sz w:val="24"/>
              <w:szCs w:val="24"/>
            </w:rPr>
            <w:fldChar w:fldCharType="begin"/>
          </w:r>
          <w:r w:rsidRPr="00816B3A">
            <w:rPr>
              <w:color w:val="4472C4"/>
              <w:sz w:val="24"/>
              <w:szCs w:val="24"/>
            </w:rPr>
            <w:instrText>PAGE   \* MERGEFORMAT</w:instrText>
          </w:r>
          <w:r w:rsidRPr="00816B3A">
            <w:rPr>
              <w:color w:val="4472C4"/>
              <w:sz w:val="24"/>
              <w:szCs w:val="24"/>
            </w:rPr>
            <w:fldChar w:fldCharType="separate"/>
          </w:r>
          <w:r>
            <w:rPr>
              <w:noProof/>
              <w:color w:val="4472C4"/>
              <w:sz w:val="24"/>
              <w:szCs w:val="24"/>
            </w:rPr>
            <w:t>1</w:t>
          </w:r>
          <w:r w:rsidRPr="00816B3A">
            <w:rPr>
              <w:color w:val="4472C4"/>
              <w:sz w:val="24"/>
              <w:szCs w:val="24"/>
            </w:rPr>
            <w:fldChar w:fldCharType="end"/>
          </w:r>
        </w:p>
      </w:tc>
    </w:tr>
  </w:tbl>
  <w:p w:rsidR="003C294F" w:rsidRDefault="003C29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C05"/>
    <w:rsid w:val="00021918"/>
    <w:rsid w:val="00073806"/>
    <w:rsid w:val="000B3FF3"/>
    <w:rsid w:val="000F2F82"/>
    <w:rsid w:val="0018038B"/>
    <w:rsid w:val="001A6CF5"/>
    <w:rsid w:val="001D45F0"/>
    <w:rsid w:val="0020390D"/>
    <w:rsid w:val="00220DD5"/>
    <w:rsid w:val="0024483A"/>
    <w:rsid w:val="002C40DB"/>
    <w:rsid w:val="003C294F"/>
    <w:rsid w:val="003F7005"/>
    <w:rsid w:val="0040080F"/>
    <w:rsid w:val="00503B39"/>
    <w:rsid w:val="00555062"/>
    <w:rsid w:val="005B1A13"/>
    <w:rsid w:val="00666CDC"/>
    <w:rsid w:val="0074533E"/>
    <w:rsid w:val="007D4197"/>
    <w:rsid w:val="00816B3A"/>
    <w:rsid w:val="008F63C3"/>
    <w:rsid w:val="00903079"/>
    <w:rsid w:val="0092647E"/>
    <w:rsid w:val="00950765"/>
    <w:rsid w:val="009538C7"/>
    <w:rsid w:val="00970B3E"/>
    <w:rsid w:val="0097374A"/>
    <w:rsid w:val="00997F28"/>
    <w:rsid w:val="009D3AEB"/>
    <w:rsid w:val="00A36B73"/>
    <w:rsid w:val="00A551B8"/>
    <w:rsid w:val="00A61C05"/>
    <w:rsid w:val="00B07B10"/>
    <w:rsid w:val="00B9715C"/>
    <w:rsid w:val="00C73A44"/>
    <w:rsid w:val="00CD6393"/>
    <w:rsid w:val="00D235D3"/>
    <w:rsid w:val="00DE7583"/>
    <w:rsid w:val="00EB248F"/>
    <w:rsid w:val="00F038D3"/>
    <w:rsid w:val="00F03EEC"/>
    <w:rsid w:val="00F3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5C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61C05"/>
    <w:rPr>
      <w:kern w:val="2"/>
      <w:lang w:eastAsia="en-US"/>
    </w:rPr>
  </w:style>
  <w:style w:type="paragraph" w:styleId="Header">
    <w:name w:val="header"/>
    <w:basedOn w:val="Normal"/>
    <w:link w:val="HeaderChar"/>
    <w:uiPriority w:val="99"/>
    <w:rsid w:val="00A61C05"/>
    <w:pPr>
      <w:tabs>
        <w:tab w:val="center" w:pos="4677"/>
        <w:tab w:val="right" w:pos="9355"/>
      </w:tabs>
      <w:spacing w:after="0" w:line="240" w:lineRule="auto"/>
    </w:pPr>
    <w:rPr>
      <w:kern w:val="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1C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1C05"/>
    <w:pPr>
      <w:tabs>
        <w:tab w:val="center" w:pos="4677"/>
        <w:tab w:val="right" w:pos="9355"/>
      </w:tabs>
      <w:spacing w:after="0" w:line="240" w:lineRule="auto"/>
    </w:pPr>
    <w:rPr>
      <w:kern w:val="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1C0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D45F0"/>
    <w:pPr>
      <w:spacing w:after="0" w:line="240" w:lineRule="auto"/>
    </w:pPr>
    <w:rPr>
      <w:kern w:val="2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45F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D45F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453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2304</Words>
  <Characters>13134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Субетто А</dc:title>
  <dc:subject/>
  <dc:creator>Кирилл Усков</dc:creator>
  <cp:keywords/>
  <dc:description/>
  <cp:lastModifiedBy>Владимир</cp:lastModifiedBy>
  <cp:revision>2</cp:revision>
  <cp:lastPrinted>2023-03-07T13:23:00Z</cp:lastPrinted>
  <dcterms:created xsi:type="dcterms:W3CDTF">2023-09-22T11:46:00Z</dcterms:created>
  <dcterms:modified xsi:type="dcterms:W3CDTF">2023-09-22T11:46:00Z</dcterms:modified>
</cp:coreProperties>
</file>