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B63F" w14:textId="1E2C24B6" w:rsidR="00282DA6" w:rsidRDefault="00282DA6" w:rsidP="00B96596">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ЭКОНОМИЧЕСКИЙ </w:t>
      </w:r>
      <w:r w:rsidR="00C76100">
        <w:rPr>
          <w:rFonts w:ascii="Times New Roman" w:hAnsi="Times New Roman" w:cs="Times New Roman"/>
          <w:b/>
          <w:bCs/>
          <w:color w:val="000000" w:themeColor="text1"/>
        </w:rPr>
        <w:t xml:space="preserve">ПОТЕНЦИАЛ РАЗВИТИЯ </w:t>
      </w:r>
      <w:r>
        <w:rPr>
          <w:rFonts w:ascii="Times New Roman" w:hAnsi="Times New Roman" w:cs="Times New Roman"/>
          <w:b/>
          <w:bCs/>
          <w:color w:val="000000" w:themeColor="text1"/>
        </w:rPr>
        <w:t>ФИТНЕС-ИНДУСТРИИ</w:t>
      </w:r>
    </w:p>
    <w:p w14:paraId="327CEB8E" w14:textId="77777777" w:rsidR="00076B14" w:rsidRPr="00C7213B" w:rsidRDefault="00076B14" w:rsidP="00282DA6">
      <w:pPr>
        <w:spacing w:after="0" w:line="240" w:lineRule="auto"/>
        <w:jc w:val="center"/>
        <w:rPr>
          <w:rFonts w:ascii="Times New Roman" w:hAnsi="Times New Roman" w:cs="Times New Roman"/>
          <w:b/>
          <w:bCs/>
          <w:color w:val="000000" w:themeColor="text1"/>
        </w:rPr>
      </w:pPr>
    </w:p>
    <w:p w14:paraId="31EFA58A" w14:textId="6910FCD0" w:rsidR="00076B14" w:rsidRPr="00B96B2E" w:rsidRDefault="00076B14" w:rsidP="00076B14">
      <w:pPr>
        <w:spacing w:after="0" w:line="312" w:lineRule="auto"/>
        <w:ind w:firstLine="709"/>
        <w:jc w:val="center"/>
        <w:rPr>
          <w:rFonts w:ascii="Times New Roman" w:hAnsi="Times New Roman" w:cs="Times New Roman"/>
          <w:b/>
          <w:bCs/>
          <w:i/>
          <w:iCs/>
        </w:rPr>
      </w:pPr>
      <w:r>
        <w:rPr>
          <w:rFonts w:ascii="Times New Roman" w:hAnsi="Times New Roman" w:cs="Times New Roman"/>
          <w:b/>
          <w:bCs/>
          <w:i/>
          <w:iCs/>
        </w:rPr>
        <w:t>Мельникова Д.С</w:t>
      </w:r>
      <w:r w:rsidRPr="00B96B2E">
        <w:rPr>
          <w:rFonts w:ascii="Times New Roman" w:hAnsi="Times New Roman" w:cs="Times New Roman"/>
          <w:b/>
          <w:bCs/>
          <w:i/>
          <w:iCs/>
        </w:rPr>
        <w:t xml:space="preserve">. </w:t>
      </w:r>
      <w:r w:rsidR="00B96596" w:rsidRPr="00B96596">
        <w:rPr>
          <w:rFonts w:ascii="Times New Roman" w:hAnsi="Times New Roman" w:cs="Times New Roman"/>
          <w:i/>
          <w:iCs/>
        </w:rPr>
        <w:t>студент 2 курса магистратуры</w:t>
      </w:r>
    </w:p>
    <w:p w14:paraId="51AE6E2E" w14:textId="77777777" w:rsidR="00076B14" w:rsidRPr="00B96B2E" w:rsidRDefault="00076B14" w:rsidP="00076B14">
      <w:pPr>
        <w:spacing w:after="0" w:line="312" w:lineRule="auto"/>
        <w:ind w:firstLine="709"/>
        <w:jc w:val="center"/>
        <w:rPr>
          <w:rFonts w:ascii="Times New Roman" w:hAnsi="Times New Roman" w:cs="Times New Roman"/>
          <w:b/>
          <w:bCs/>
          <w:i/>
          <w:iCs/>
          <w:color w:val="000000" w:themeColor="text1"/>
        </w:rPr>
      </w:pPr>
      <w:r w:rsidRPr="00B96B2E">
        <w:rPr>
          <w:rFonts w:ascii="Times New Roman" w:hAnsi="Times New Roman" w:cs="Times New Roman"/>
          <w:b/>
          <w:bCs/>
          <w:i/>
          <w:iCs/>
          <w:color w:val="000000" w:themeColor="text1"/>
        </w:rPr>
        <w:t xml:space="preserve">Российский государственный педагогический университет им. А. И. Герцена, Институт физической культуры и спорта, г. Санкт-Петербург </w:t>
      </w:r>
    </w:p>
    <w:p w14:paraId="2BC5CCC1" w14:textId="43791A99" w:rsidR="00076B14" w:rsidRPr="00B96596" w:rsidRDefault="00076B14" w:rsidP="00076B14">
      <w:pPr>
        <w:spacing w:after="0" w:line="312" w:lineRule="auto"/>
        <w:ind w:firstLine="709"/>
        <w:jc w:val="center"/>
        <w:rPr>
          <w:rFonts w:ascii="Times New Roman" w:hAnsi="Times New Roman" w:cs="Times New Roman"/>
          <w:i/>
          <w:iCs/>
          <w:lang w:val="en-US"/>
        </w:rPr>
      </w:pPr>
      <w:r w:rsidRPr="00B96596">
        <w:rPr>
          <w:rFonts w:ascii="Times New Roman" w:hAnsi="Times New Roman" w:cs="Times New Roman"/>
          <w:i/>
          <w:iCs/>
          <w:color w:val="000000" w:themeColor="text1"/>
          <w:lang w:val="en-US"/>
        </w:rPr>
        <w:t>e-mail: 826.dasha.m@gmail.com</w:t>
      </w:r>
    </w:p>
    <w:p w14:paraId="416FF4F4" w14:textId="77777777" w:rsidR="00076B14" w:rsidRPr="00076B14" w:rsidRDefault="00076B14" w:rsidP="00282DA6">
      <w:pPr>
        <w:spacing w:after="0" w:line="240" w:lineRule="auto"/>
        <w:ind w:firstLine="709"/>
        <w:jc w:val="both"/>
        <w:rPr>
          <w:rFonts w:ascii="Times New Roman" w:hAnsi="Times New Roman" w:cs="Times New Roman"/>
          <w:i/>
          <w:iCs/>
          <w:lang w:val="en-US"/>
        </w:rPr>
      </w:pPr>
    </w:p>
    <w:p w14:paraId="3E1439BD" w14:textId="145E72DD" w:rsidR="00282DA6" w:rsidRPr="00652411" w:rsidRDefault="00282DA6" w:rsidP="00282DA6">
      <w:pPr>
        <w:spacing w:after="0" w:line="240" w:lineRule="auto"/>
        <w:ind w:firstLine="709"/>
        <w:jc w:val="both"/>
        <w:rPr>
          <w:rFonts w:ascii="Times New Roman" w:eastAsia="Calibri" w:hAnsi="Times New Roman" w:cs="Times New Roman"/>
          <w:iCs/>
          <w:color w:val="000000" w:themeColor="text1"/>
          <w:kern w:val="0"/>
          <w:lang w:eastAsia="ru-RU"/>
          <w14:ligatures w14:val="none"/>
        </w:rPr>
      </w:pPr>
      <w:r w:rsidRPr="00B96596">
        <w:rPr>
          <w:rFonts w:ascii="Times New Roman" w:eastAsia="Calibri" w:hAnsi="Times New Roman" w:cs="Times New Roman"/>
          <w:b/>
          <w:bCs/>
          <w:i/>
          <w:color w:val="000000" w:themeColor="text1"/>
          <w:kern w:val="0"/>
          <w:lang w:eastAsia="ru-RU"/>
          <w14:ligatures w14:val="none"/>
        </w:rPr>
        <w:t>Аннотация</w:t>
      </w:r>
      <w:r w:rsidR="00B96596">
        <w:rPr>
          <w:rFonts w:ascii="Times New Roman" w:eastAsia="Calibri" w:hAnsi="Times New Roman" w:cs="Times New Roman"/>
          <w:b/>
          <w:bCs/>
          <w:i/>
          <w:color w:val="000000" w:themeColor="text1"/>
          <w:kern w:val="0"/>
          <w:lang w:eastAsia="ru-RU"/>
          <w14:ligatures w14:val="none"/>
        </w:rPr>
        <w:t>.</w:t>
      </w:r>
      <w:r w:rsidRPr="00652411">
        <w:rPr>
          <w:rFonts w:ascii="Times New Roman" w:eastAsia="Calibri" w:hAnsi="Times New Roman" w:cs="Times New Roman"/>
          <w:iCs/>
          <w:color w:val="000000" w:themeColor="text1"/>
          <w:kern w:val="0"/>
          <w:lang w:eastAsia="ru-RU"/>
          <w14:ligatures w14:val="none"/>
        </w:rPr>
        <w:t xml:space="preserve"> </w:t>
      </w:r>
      <w:r w:rsidR="00652411" w:rsidRPr="00652411">
        <w:rPr>
          <w:rFonts w:ascii="Times New Roman" w:eastAsia="Calibri" w:hAnsi="Times New Roman" w:cs="Times New Roman"/>
          <w:iCs/>
          <w:color w:val="000000" w:themeColor="text1"/>
          <w:kern w:val="0"/>
          <w:lang w:eastAsia="ru-RU"/>
          <w14:ligatures w14:val="none"/>
        </w:rPr>
        <w:t>Целью данной статьи является анализ перспектив развития российского рынка фитнес-услуг в современных экономических условиях. На основе данных за 2023-2024 годы рассматриваются основные факторы роста отрасли, включая увеличение реальных доходов населения, структурные изменения рынка и эволюцию моделей монетизации.</w:t>
      </w:r>
      <w:r w:rsidR="00652411">
        <w:rPr>
          <w:rFonts w:ascii="Times New Roman" w:eastAsia="Calibri" w:hAnsi="Times New Roman" w:cs="Times New Roman"/>
          <w:iCs/>
          <w:color w:val="000000" w:themeColor="text1"/>
          <w:kern w:val="0"/>
          <w:lang w:eastAsia="ru-RU"/>
          <w14:ligatures w14:val="none"/>
        </w:rPr>
        <w:t xml:space="preserve"> </w:t>
      </w:r>
      <w:r w:rsidR="00652411" w:rsidRPr="00652411">
        <w:rPr>
          <w:rFonts w:ascii="Times New Roman" w:eastAsia="Calibri" w:hAnsi="Times New Roman" w:cs="Times New Roman"/>
          <w:iCs/>
          <w:color w:val="000000" w:themeColor="text1"/>
          <w:kern w:val="0"/>
          <w:lang w:eastAsia="ru-RU"/>
          <w14:ligatures w14:val="none"/>
        </w:rPr>
        <w:t xml:space="preserve">В статье </w:t>
      </w:r>
      <w:r w:rsidR="00652411">
        <w:rPr>
          <w:rFonts w:ascii="Times New Roman" w:eastAsia="Calibri" w:hAnsi="Times New Roman" w:cs="Times New Roman"/>
          <w:iCs/>
          <w:color w:val="000000" w:themeColor="text1"/>
          <w:kern w:val="0"/>
          <w:lang w:eastAsia="ru-RU"/>
          <w14:ligatures w14:val="none"/>
        </w:rPr>
        <w:t>обсуждается переход</w:t>
      </w:r>
      <w:r w:rsidR="00652411" w:rsidRPr="00652411">
        <w:rPr>
          <w:rFonts w:ascii="Times New Roman" w:eastAsia="Calibri" w:hAnsi="Times New Roman" w:cs="Times New Roman"/>
          <w:iCs/>
          <w:color w:val="000000" w:themeColor="text1"/>
          <w:kern w:val="0"/>
          <w:lang w:eastAsia="ru-RU"/>
          <w14:ligatures w14:val="none"/>
        </w:rPr>
        <w:t xml:space="preserve"> фитнес-индустрия от этапа быстрого роста, связанного с общим повышением цен, к этапу качественных преобразований. Основными направлениями развития становятся: расширение студийного формата, переход на регулярные формы оплаты и диверсификация доходов традиционных клубов. Результаты исследования позволяют определить стратегические направления развития для участников рынка на среднесрочную перспективу.</w:t>
      </w:r>
    </w:p>
    <w:p w14:paraId="28F7DA9C" w14:textId="699D7B6F" w:rsidR="00282DA6" w:rsidRPr="00652411" w:rsidRDefault="00282DA6" w:rsidP="00282DA6">
      <w:pPr>
        <w:spacing w:after="0" w:line="240" w:lineRule="auto"/>
        <w:ind w:firstLine="709"/>
        <w:jc w:val="both"/>
        <w:rPr>
          <w:rFonts w:ascii="Times New Roman" w:eastAsia="Calibri" w:hAnsi="Times New Roman" w:cs="Times New Roman"/>
          <w:iCs/>
          <w:color w:val="000000" w:themeColor="text1"/>
          <w:kern w:val="0"/>
          <w:lang w:eastAsia="ru-RU"/>
          <w14:ligatures w14:val="none"/>
        </w:rPr>
      </w:pPr>
      <w:r w:rsidRPr="00B96596">
        <w:rPr>
          <w:rFonts w:ascii="Times New Roman" w:eastAsia="Calibri" w:hAnsi="Times New Roman" w:cs="Times New Roman"/>
          <w:b/>
          <w:bCs/>
          <w:i/>
          <w:color w:val="000000" w:themeColor="text1"/>
          <w:kern w:val="0"/>
          <w:lang w:eastAsia="ru-RU"/>
          <w14:ligatures w14:val="none"/>
        </w:rPr>
        <w:t>Ключевые слова:</w:t>
      </w:r>
      <w:r w:rsidRPr="00B96596">
        <w:rPr>
          <w:rFonts w:ascii="Times New Roman" w:eastAsia="Calibri" w:hAnsi="Times New Roman" w:cs="Times New Roman"/>
          <w:i/>
          <w:color w:val="000000" w:themeColor="text1"/>
          <w:kern w:val="0"/>
          <w:lang w:eastAsia="ru-RU"/>
          <w14:ligatures w14:val="none"/>
        </w:rPr>
        <w:t xml:space="preserve"> </w:t>
      </w:r>
      <w:r w:rsidR="00652411">
        <w:rPr>
          <w:rFonts w:ascii="Times New Roman" w:eastAsia="Calibri" w:hAnsi="Times New Roman" w:cs="Times New Roman"/>
          <w:iCs/>
          <w:color w:val="000000" w:themeColor="text1"/>
          <w:kern w:val="0"/>
          <w:lang w:eastAsia="ru-RU"/>
          <w14:ligatures w14:val="none"/>
        </w:rPr>
        <w:t>фитнес-индустрия, фитнес, экономика, перспектива.</w:t>
      </w:r>
    </w:p>
    <w:p w14:paraId="478A4912" w14:textId="77777777" w:rsidR="00282DA6" w:rsidRPr="00652411" w:rsidRDefault="00282DA6" w:rsidP="00282DA6">
      <w:pPr>
        <w:spacing w:after="0" w:line="240" w:lineRule="auto"/>
        <w:ind w:firstLine="709"/>
        <w:jc w:val="both"/>
        <w:rPr>
          <w:rFonts w:ascii="Times New Roman" w:eastAsia="Calibri" w:hAnsi="Times New Roman" w:cs="Times New Roman"/>
          <w:iCs/>
          <w:color w:val="000000" w:themeColor="text1"/>
          <w:kern w:val="0"/>
          <w:lang w:eastAsia="ru-RU"/>
          <w14:ligatures w14:val="none"/>
        </w:rPr>
      </w:pPr>
    </w:p>
    <w:p w14:paraId="7843D071" w14:textId="46328801" w:rsidR="00282DA6" w:rsidRPr="00C53530" w:rsidRDefault="00BC3C42" w:rsidP="00282DA6">
      <w:pPr>
        <w:spacing w:after="0" w:line="240" w:lineRule="auto"/>
        <w:ind w:firstLine="709"/>
        <w:jc w:val="center"/>
        <w:rPr>
          <w:rFonts w:ascii="Times New Roman" w:eastAsia="Calibri" w:hAnsi="Times New Roman" w:cs="Times New Roman"/>
          <w:b/>
          <w:color w:val="000000" w:themeColor="text1"/>
          <w:kern w:val="0"/>
          <w:lang w:val="en-US" w:eastAsia="ru-RU"/>
          <w14:ligatures w14:val="none"/>
        </w:rPr>
      </w:pPr>
      <w:r w:rsidRPr="00BC3C42">
        <w:rPr>
          <w:rFonts w:ascii="Times New Roman" w:eastAsia="Calibri" w:hAnsi="Times New Roman" w:cs="Times New Roman"/>
          <w:b/>
          <w:color w:val="000000" w:themeColor="text1"/>
          <w:kern w:val="0"/>
          <w:lang w:val="en-US" w:eastAsia="ru-RU"/>
          <w14:ligatures w14:val="none"/>
        </w:rPr>
        <w:t>ECONOMIC POTENTIAL OF THE FITNESS INDUSTRY</w:t>
      </w:r>
    </w:p>
    <w:p w14:paraId="04D488ED" w14:textId="77777777" w:rsidR="00076B14" w:rsidRDefault="00076B14" w:rsidP="00076B14">
      <w:pPr>
        <w:spacing w:after="0" w:line="312" w:lineRule="auto"/>
        <w:ind w:firstLine="709"/>
        <w:jc w:val="center"/>
        <w:rPr>
          <w:rFonts w:ascii="Times New Roman" w:eastAsia="Calibri" w:hAnsi="Times New Roman" w:cs="Times New Roman"/>
          <w:b/>
          <w:bCs/>
          <w:i/>
          <w:iCs/>
          <w:color w:val="000000" w:themeColor="text1"/>
          <w:kern w:val="0"/>
          <w:lang w:val="en-US" w:eastAsia="ru-RU"/>
          <w14:ligatures w14:val="none"/>
        </w:rPr>
      </w:pPr>
    </w:p>
    <w:p w14:paraId="46F27AD2" w14:textId="5D3FEFE5" w:rsidR="00076B14" w:rsidRPr="00B96B2E" w:rsidRDefault="00076B14" w:rsidP="00076B14">
      <w:pPr>
        <w:spacing w:after="0" w:line="312" w:lineRule="auto"/>
        <w:ind w:firstLine="709"/>
        <w:jc w:val="center"/>
        <w:rPr>
          <w:rFonts w:ascii="Times New Roman" w:eastAsia="Calibri" w:hAnsi="Times New Roman" w:cs="Times New Roman"/>
          <w:b/>
          <w:bCs/>
          <w:i/>
          <w:iCs/>
          <w:color w:val="000000" w:themeColor="text1"/>
          <w:kern w:val="0"/>
          <w:lang w:val="en-US" w:eastAsia="ru-RU"/>
          <w14:ligatures w14:val="none"/>
        </w:rPr>
      </w:pPr>
      <w:r>
        <w:rPr>
          <w:rFonts w:ascii="Times New Roman" w:eastAsia="Calibri" w:hAnsi="Times New Roman" w:cs="Times New Roman"/>
          <w:b/>
          <w:bCs/>
          <w:i/>
          <w:iCs/>
          <w:color w:val="000000" w:themeColor="text1"/>
          <w:kern w:val="0"/>
          <w:lang w:val="en-US" w:eastAsia="ru-RU"/>
          <w14:ligatures w14:val="none"/>
        </w:rPr>
        <w:t>Melnikova D.S.</w:t>
      </w:r>
      <w:r w:rsidRPr="00B96B2E">
        <w:rPr>
          <w:rFonts w:ascii="Times New Roman" w:eastAsia="Calibri" w:hAnsi="Times New Roman" w:cs="Times New Roman"/>
          <w:b/>
          <w:bCs/>
          <w:i/>
          <w:iCs/>
          <w:color w:val="000000" w:themeColor="text1"/>
          <w:kern w:val="0"/>
          <w:lang w:val="en-US" w:eastAsia="ru-RU"/>
          <w14:ligatures w14:val="none"/>
        </w:rPr>
        <w:t xml:space="preserve"> </w:t>
      </w:r>
      <w:r w:rsidR="00B96596" w:rsidRPr="00B96596">
        <w:rPr>
          <w:rFonts w:ascii="Times New Roman" w:eastAsia="Calibri" w:hAnsi="Times New Roman" w:cs="Times New Roman"/>
          <w:b/>
          <w:bCs/>
          <w:i/>
          <w:iCs/>
          <w:color w:val="000000" w:themeColor="text1"/>
          <w:kern w:val="0"/>
          <w:lang w:val="en-US" w:eastAsia="ru-RU"/>
          <w14:ligatures w14:val="none"/>
        </w:rPr>
        <w:t>2</w:t>
      </w:r>
      <w:r w:rsidR="00B96596" w:rsidRPr="00B96596">
        <w:rPr>
          <w:rFonts w:ascii="Times New Roman" w:eastAsia="Calibri" w:hAnsi="Times New Roman" w:cs="Times New Roman"/>
          <w:b/>
          <w:bCs/>
          <w:i/>
          <w:iCs/>
          <w:color w:val="000000" w:themeColor="text1"/>
          <w:kern w:val="0"/>
          <w:vertAlign w:val="superscript"/>
          <w:lang w:val="en-US" w:eastAsia="ru-RU"/>
          <w14:ligatures w14:val="none"/>
        </w:rPr>
        <w:t>nd</w:t>
      </w:r>
      <w:r w:rsidR="00B96596">
        <w:rPr>
          <w:rFonts w:ascii="Times New Roman" w:eastAsia="Calibri" w:hAnsi="Times New Roman" w:cs="Times New Roman"/>
          <w:b/>
          <w:bCs/>
          <w:i/>
          <w:iCs/>
          <w:color w:val="000000" w:themeColor="text1"/>
          <w:kern w:val="0"/>
          <w:lang w:val="en-US" w:eastAsia="ru-RU"/>
          <w14:ligatures w14:val="none"/>
        </w:rPr>
        <w:t xml:space="preserve"> year </w:t>
      </w:r>
      <w:r w:rsidRPr="00B96B2E">
        <w:rPr>
          <w:rFonts w:ascii="Times New Roman" w:eastAsia="Calibri" w:hAnsi="Times New Roman" w:cs="Times New Roman"/>
          <w:b/>
          <w:bCs/>
          <w:i/>
          <w:iCs/>
          <w:color w:val="000000" w:themeColor="text1"/>
          <w:kern w:val="0"/>
          <w:lang w:val="en-US" w:eastAsia="ru-RU"/>
          <w14:ligatures w14:val="none"/>
        </w:rPr>
        <w:t>graduate student</w:t>
      </w:r>
    </w:p>
    <w:p w14:paraId="5F5EA28E" w14:textId="77777777" w:rsidR="00076B14" w:rsidRPr="00B96B2E" w:rsidRDefault="00076B14" w:rsidP="00076B14">
      <w:pPr>
        <w:spacing w:after="0" w:line="312" w:lineRule="auto"/>
        <w:ind w:firstLine="709"/>
        <w:jc w:val="center"/>
        <w:rPr>
          <w:rFonts w:ascii="Times New Roman" w:eastAsia="Calibri" w:hAnsi="Times New Roman" w:cs="Times New Roman"/>
          <w:b/>
          <w:bCs/>
          <w:i/>
          <w:iCs/>
          <w:color w:val="000000" w:themeColor="text1"/>
          <w:kern w:val="0"/>
          <w:lang w:val="en-US" w:eastAsia="ru-RU"/>
          <w14:ligatures w14:val="none"/>
        </w:rPr>
      </w:pPr>
      <w:r w:rsidRPr="00B96B2E">
        <w:rPr>
          <w:rFonts w:ascii="Times New Roman" w:eastAsia="Calibri" w:hAnsi="Times New Roman" w:cs="Times New Roman"/>
          <w:b/>
          <w:bCs/>
          <w:i/>
          <w:iCs/>
          <w:color w:val="000000" w:themeColor="text1"/>
          <w:kern w:val="0"/>
          <w:lang w:val="en-US" w:eastAsia="ru-RU"/>
          <w14:ligatures w14:val="none"/>
        </w:rPr>
        <w:t>Herzen State Pedagogical University of Russia, Institute of Physical Culture and Sports, St. Petersburg</w:t>
      </w:r>
    </w:p>
    <w:p w14:paraId="4C8EFA60" w14:textId="3BE0EAAB" w:rsidR="00076B14" w:rsidRPr="00B96B2E" w:rsidRDefault="00076B14" w:rsidP="00076B14">
      <w:pPr>
        <w:spacing w:after="0" w:line="312" w:lineRule="auto"/>
        <w:ind w:firstLine="709"/>
        <w:jc w:val="center"/>
        <w:rPr>
          <w:rFonts w:ascii="Times New Roman" w:eastAsia="Calibri" w:hAnsi="Times New Roman" w:cs="Times New Roman"/>
          <w:b/>
          <w:bCs/>
          <w:i/>
          <w:iCs/>
          <w:color w:val="000000" w:themeColor="text1"/>
          <w:kern w:val="0"/>
          <w:lang w:val="en-US" w:eastAsia="ru-RU"/>
          <w14:ligatures w14:val="none"/>
        </w:rPr>
      </w:pPr>
      <w:r w:rsidRPr="00B96B2E">
        <w:rPr>
          <w:rFonts w:ascii="Times New Roman" w:eastAsia="Calibri" w:hAnsi="Times New Roman" w:cs="Times New Roman"/>
          <w:b/>
          <w:bCs/>
          <w:i/>
          <w:iCs/>
          <w:color w:val="000000" w:themeColor="text1"/>
          <w:kern w:val="0"/>
          <w:lang w:eastAsia="ru-RU"/>
          <w14:ligatures w14:val="none"/>
        </w:rPr>
        <w:t>Е</w:t>
      </w:r>
      <w:r w:rsidRPr="00B96B2E">
        <w:rPr>
          <w:rFonts w:ascii="Times New Roman" w:eastAsia="Calibri" w:hAnsi="Times New Roman" w:cs="Times New Roman"/>
          <w:b/>
          <w:bCs/>
          <w:i/>
          <w:iCs/>
          <w:color w:val="000000" w:themeColor="text1"/>
          <w:kern w:val="0"/>
          <w:lang w:val="en-US" w:eastAsia="ru-RU"/>
          <w14:ligatures w14:val="none"/>
        </w:rPr>
        <w:t>-mail:</w:t>
      </w:r>
      <w:r w:rsidRPr="00B96B2E">
        <w:rPr>
          <w:rFonts w:ascii="Times New Roman" w:eastAsia="Calibri" w:hAnsi="Times New Roman" w:cs="Times New Roman"/>
          <w:i/>
          <w:iCs/>
          <w:color w:val="000000" w:themeColor="text1"/>
          <w:kern w:val="0"/>
          <w:lang w:val="en-US" w:eastAsia="ru-RU"/>
          <w14:ligatures w14:val="none"/>
        </w:rPr>
        <w:t xml:space="preserve"> </w:t>
      </w:r>
      <w:r w:rsidRPr="00076B14">
        <w:rPr>
          <w:rFonts w:ascii="Times New Roman" w:hAnsi="Times New Roman" w:cs="Times New Roman"/>
          <w:b/>
          <w:bCs/>
          <w:i/>
          <w:iCs/>
          <w:color w:val="000000" w:themeColor="text1"/>
          <w:lang w:val="en-US"/>
        </w:rPr>
        <w:t>826.</w:t>
      </w:r>
      <w:r>
        <w:rPr>
          <w:rFonts w:ascii="Times New Roman" w:hAnsi="Times New Roman" w:cs="Times New Roman"/>
          <w:b/>
          <w:bCs/>
          <w:i/>
          <w:iCs/>
          <w:color w:val="000000" w:themeColor="text1"/>
          <w:lang w:val="en-US"/>
        </w:rPr>
        <w:t>dasha.m@gmail.com</w:t>
      </w:r>
    </w:p>
    <w:p w14:paraId="03937C2B" w14:textId="77777777" w:rsidR="00076B14" w:rsidRPr="00076B14" w:rsidRDefault="00076B14" w:rsidP="00282DA6">
      <w:pPr>
        <w:spacing w:after="0" w:line="240" w:lineRule="auto"/>
        <w:ind w:firstLine="709"/>
        <w:jc w:val="both"/>
        <w:rPr>
          <w:rFonts w:ascii="Times New Roman" w:eastAsia="Calibri" w:hAnsi="Times New Roman" w:cs="Times New Roman"/>
          <w:i/>
          <w:color w:val="000000" w:themeColor="text1"/>
          <w:kern w:val="0"/>
          <w:lang w:val="en-US" w:eastAsia="ru-RU"/>
          <w14:ligatures w14:val="none"/>
        </w:rPr>
      </w:pPr>
    </w:p>
    <w:p w14:paraId="545D7827" w14:textId="5F0D045B" w:rsidR="00282DA6" w:rsidRPr="0080604C" w:rsidRDefault="00282DA6" w:rsidP="00282DA6">
      <w:pPr>
        <w:spacing w:after="0" w:line="240" w:lineRule="auto"/>
        <w:ind w:firstLine="709"/>
        <w:jc w:val="both"/>
        <w:rPr>
          <w:rFonts w:ascii="Times New Roman" w:eastAsia="Calibri" w:hAnsi="Times New Roman" w:cs="Times New Roman"/>
          <w:iCs/>
          <w:color w:val="000000" w:themeColor="text1"/>
          <w:kern w:val="0"/>
          <w:lang w:val="en-US" w:eastAsia="ru-RU"/>
          <w14:ligatures w14:val="none"/>
        </w:rPr>
      </w:pPr>
      <w:r w:rsidRPr="00B96596">
        <w:rPr>
          <w:rFonts w:ascii="Times New Roman" w:eastAsia="Calibri" w:hAnsi="Times New Roman" w:cs="Times New Roman"/>
          <w:b/>
          <w:bCs/>
          <w:i/>
          <w:color w:val="000000" w:themeColor="text1"/>
          <w:kern w:val="0"/>
          <w:lang w:val="en-US" w:eastAsia="ru-RU"/>
          <w14:ligatures w14:val="none"/>
        </w:rPr>
        <w:t>A</w:t>
      </w:r>
      <w:r w:rsidR="00076B14" w:rsidRPr="00B96596">
        <w:rPr>
          <w:rFonts w:ascii="Times New Roman" w:eastAsia="Calibri" w:hAnsi="Times New Roman" w:cs="Times New Roman"/>
          <w:b/>
          <w:bCs/>
          <w:i/>
          <w:color w:val="000000" w:themeColor="text1"/>
          <w:kern w:val="0"/>
          <w:lang w:val="en-US" w:eastAsia="ru-RU"/>
          <w14:ligatures w14:val="none"/>
        </w:rPr>
        <w:t>nnotation.</w:t>
      </w:r>
      <w:r w:rsidRPr="00B96596">
        <w:rPr>
          <w:rFonts w:ascii="Times New Roman" w:eastAsia="Calibri" w:hAnsi="Times New Roman" w:cs="Times New Roman"/>
          <w:i/>
          <w:color w:val="000000" w:themeColor="text1"/>
          <w:kern w:val="0"/>
          <w:lang w:val="en-US" w:eastAsia="ru-RU"/>
          <w14:ligatures w14:val="none"/>
        </w:rPr>
        <w:t xml:space="preserve"> </w:t>
      </w:r>
      <w:r w:rsidR="0080604C" w:rsidRPr="0080604C">
        <w:rPr>
          <w:rFonts w:ascii="Times New Roman" w:eastAsia="Calibri" w:hAnsi="Times New Roman" w:cs="Times New Roman"/>
          <w:iCs/>
          <w:color w:val="000000" w:themeColor="text1"/>
          <w:kern w:val="0"/>
          <w:lang w:val="en-US" w:eastAsia="ru-RU"/>
          <w14:ligatures w14:val="none"/>
        </w:rPr>
        <w:t>The purpose of this article is to analyze the prospects of development of the Russian market for fitness services in the current economic conditions. Based on data for 2023-2024, the main factors of growth of the industry are considered, including the increase in real income of the population, structural market changes and evolution of monetization models. The article discusses the transition of the fitness industry from a stage of rapid growth associated with general price increases to a stage of quality transformation. The main areas of development are: expansion of studio format, transition to regular forms of payment and diversification of income of traditional clubs. The results of the study allow to determine strategic directions of development for market participants in the medium term.</w:t>
      </w:r>
    </w:p>
    <w:p w14:paraId="20D755C6" w14:textId="77777777" w:rsidR="00282DA6" w:rsidRPr="0080604C" w:rsidRDefault="00282DA6" w:rsidP="00282DA6">
      <w:pPr>
        <w:spacing w:after="0" w:line="240" w:lineRule="auto"/>
        <w:ind w:firstLine="709"/>
        <w:jc w:val="both"/>
        <w:rPr>
          <w:rFonts w:ascii="Times New Roman" w:eastAsia="Calibri" w:hAnsi="Times New Roman" w:cs="Times New Roman"/>
          <w:iCs/>
          <w:color w:val="000000" w:themeColor="text1"/>
          <w:kern w:val="0"/>
          <w:lang w:val="en-US" w:eastAsia="ru-RU"/>
          <w14:ligatures w14:val="none"/>
        </w:rPr>
      </w:pPr>
    </w:p>
    <w:p w14:paraId="00024C19" w14:textId="1D309020" w:rsidR="00282DA6" w:rsidRPr="0080604C" w:rsidRDefault="00282DA6" w:rsidP="00282DA6">
      <w:pPr>
        <w:spacing w:after="0" w:line="240" w:lineRule="auto"/>
        <w:ind w:firstLine="709"/>
        <w:jc w:val="both"/>
        <w:rPr>
          <w:rFonts w:ascii="Times New Roman" w:eastAsia="Calibri" w:hAnsi="Times New Roman" w:cs="Times New Roman"/>
          <w:iCs/>
          <w:color w:val="000000" w:themeColor="text1"/>
          <w:kern w:val="0"/>
          <w:lang w:val="en-US" w:eastAsia="ru-RU"/>
          <w14:ligatures w14:val="none"/>
        </w:rPr>
      </w:pPr>
      <w:r w:rsidRPr="00B96596">
        <w:rPr>
          <w:rFonts w:ascii="Times New Roman" w:eastAsia="Calibri" w:hAnsi="Times New Roman" w:cs="Times New Roman"/>
          <w:b/>
          <w:bCs/>
          <w:i/>
          <w:color w:val="000000" w:themeColor="text1"/>
          <w:kern w:val="0"/>
          <w:lang w:val="en-US" w:eastAsia="ru-RU"/>
          <w14:ligatures w14:val="none"/>
        </w:rPr>
        <w:t>Keywords:</w:t>
      </w:r>
      <w:r w:rsidRPr="0080604C">
        <w:rPr>
          <w:rFonts w:ascii="Times New Roman" w:eastAsia="Calibri" w:hAnsi="Times New Roman" w:cs="Times New Roman"/>
          <w:iCs/>
          <w:color w:val="000000" w:themeColor="text1"/>
          <w:kern w:val="0"/>
          <w:lang w:val="en-US" w:eastAsia="ru-RU"/>
          <w14:ligatures w14:val="none"/>
        </w:rPr>
        <w:t xml:space="preserve"> </w:t>
      </w:r>
      <w:r w:rsidR="0080604C">
        <w:rPr>
          <w:rFonts w:ascii="Times New Roman" w:eastAsia="Calibri" w:hAnsi="Times New Roman" w:cs="Times New Roman"/>
          <w:iCs/>
          <w:color w:val="000000" w:themeColor="text1"/>
          <w:kern w:val="0"/>
          <w:lang w:val="en-US" w:eastAsia="ru-RU"/>
          <w14:ligatures w14:val="none"/>
        </w:rPr>
        <w:t>f</w:t>
      </w:r>
      <w:r w:rsidR="0080604C" w:rsidRPr="0080604C">
        <w:rPr>
          <w:rFonts w:ascii="Times New Roman" w:eastAsia="Calibri" w:hAnsi="Times New Roman" w:cs="Times New Roman"/>
          <w:iCs/>
          <w:color w:val="000000" w:themeColor="text1"/>
          <w:kern w:val="0"/>
          <w:lang w:val="en-US" w:eastAsia="ru-RU"/>
          <w14:ligatures w14:val="none"/>
        </w:rPr>
        <w:t>itness industry, fitness, economy, perspective.</w:t>
      </w:r>
    </w:p>
    <w:p w14:paraId="732E1347" w14:textId="77777777" w:rsidR="00282DA6" w:rsidRPr="0080604C" w:rsidRDefault="00282DA6" w:rsidP="00282DA6">
      <w:pPr>
        <w:rPr>
          <w:rFonts w:ascii="Times New Roman" w:eastAsia="Calibri" w:hAnsi="Times New Roman" w:cs="Times New Roman"/>
          <w:iCs/>
          <w:color w:val="000000" w:themeColor="text1"/>
          <w:kern w:val="0"/>
          <w:lang w:val="en-US" w:eastAsia="ru-RU"/>
          <w14:ligatures w14:val="none"/>
        </w:rPr>
      </w:pPr>
    </w:p>
    <w:p w14:paraId="172BC13F" w14:textId="77777777" w:rsidR="00282DA6" w:rsidRPr="00604029" w:rsidRDefault="00282DA6" w:rsidP="00652411">
      <w:pPr>
        <w:spacing w:after="0" w:line="312" w:lineRule="auto"/>
        <w:ind w:firstLine="709"/>
        <w:jc w:val="both"/>
        <w:rPr>
          <w:rFonts w:ascii="Times New Roman" w:hAnsi="Times New Roman" w:cs="Times New Roman"/>
        </w:rPr>
      </w:pPr>
      <w:r w:rsidRPr="00604029">
        <w:rPr>
          <w:rFonts w:ascii="Times New Roman" w:hAnsi="Times New Roman" w:cs="Times New Roman"/>
        </w:rPr>
        <w:t>В Российской Федерации действуют различные государственные программы и стратегии, целью которых является развитие физической культуры и спорта. В частности, реализуется «Стратегия развития физической культуры и спорта в Российской Федерации до 2030 года», где поставлена задача увеличить долю населения, систематически занимающегося физической культурой и спортом, до 70% к 2030 году. Фитнес-клубы являются одним из популярных мест для занятий физической активностью среди населения.</w:t>
      </w:r>
    </w:p>
    <w:p w14:paraId="04A14078" w14:textId="77777777" w:rsidR="00282DA6" w:rsidRPr="00652411"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Федеральные проекты, реализуемые в Российской Федерации в настоящее время:</w:t>
      </w:r>
    </w:p>
    <w:p w14:paraId="3932E002" w14:textId="77777777" w:rsidR="00282DA6" w:rsidRPr="00652411" w:rsidRDefault="00282DA6" w:rsidP="00652411">
      <w:pPr>
        <w:pStyle w:val="a7"/>
        <w:numPr>
          <w:ilvl w:val="0"/>
          <w:numId w:val="1"/>
        </w:numPr>
        <w:spacing w:after="0" w:line="312" w:lineRule="auto"/>
        <w:ind w:left="0" w:firstLine="709"/>
        <w:jc w:val="both"/>
        <w:rPr>
          <w:rFonts w:ascii="Times New Roman" w:hAnsi="Times New Roman" w:cs="Times New Roman"/>
        </w:rPr>
      </w:pPr>
      <w:r w:rsidRPr="00652411">
        <w:rPr>
          <w:rFonts w:ascii="Times New Roman" w:hAnsi="Times New Roman" w:cs="Times New Roman"/>
        </w:rPr>
        <w:t>Федеральный проект "Спорт - норма жизни"</w:t>
      </w:r>
    </w:p>
    <w:p w14:paraId="6FC89134" w14:textId="77777777" w:rsidR="00282DA6" w:rsidRPr="00652411" w:rsidRDefault="00282DA6" w:rsidP="00652411">
      <w:pPr>
        <w:pStyle w:val="a7"/>
        <w:numPr>
          <w:ilvl w:val="0"/>
          <w:numId w:val="1"/>
        </w:numPr>
        <w:spacing w:after="0" w:line="312" w:lineRule="auto"/>
        <w:ind w:left="0" w:firstLine="709"/>
        <w:jc w:val="both"/>
        <w:rPr>
          <w:rFonts w:ascii="Times New Roman" w:hAnsi="Times New Roman" w:cs="Times New Roman"/>
        </w:rPr>
      </w:pPr>
      <w:r w:rsidRPr="00652411">
        <w:rPr>
          <w:rFonts w:ascii="Times New Roman" w:hAnsi="Times New Roman" w:cs="Times New Roman"/>
        </w:rPr>
        <w:lastRenderedPageBreak/>
        <w:t>Федеральный проект "Бизнес-спринт"</w:t>
      </w:r>
    </w:p>
    <w:p w14:paraId="7C7767FB" w14:textId="77777777" w:rsidR="00282DA6" w:rsidRPr="00652411" w:rsidRDefault="00282DA6" w:rsidP="00652411">
      <w:pPr>
        <w:pStyle w:val="a7"/>
        <w:numPr>
          <w:ilvl w:val="0"/>
          <w:numId w:val="1"/>
        </w:numPr>
        <w:spacing w:after="0" w:line="312" w:lineRule="auto"/>
        <w:ind w:left="0" w:firstLine="709"/>
        <w:jc w:val="both"/>
        <w:rPr>
          <w:rFonts w:ascii="Times New Roman" w:hAnsi="Times New Roman" w:cs="Times New Roman"/>
        </w:rPr>
      </w:pPr>
      <w:r w:rsidRPr="00652411">
        <w:rPr>
          <w:rFonts w:ascii="Times New Roman" w:hAnsi="Times New Roman" w:cs="Times New Roman"/>
        </w:rPr>
        <w:t>Федеральный проект "Развитие физической культуры и массового спорта"</w:t>
      </w:r>
    </w:p>
    <w:p w14:paraId="0BDCFE33" w14:textId="77777777" w:rsidR="00282DA6" w:rsidRPr="00E54B64" w:rsidRDefault="00282DA6" w:rsidP="00652411">
      <w:pPr>
        <w:pStyle w:val="a7"/>
        <w:numPr>
          <w:ilvl w:val="0"/>
          <w:numId w:val="1"/>
        </w:numPr>
        <w:spacing w:after="0" w:line="312" w:lineRule="auto"/>
        <w:ind w:left="0" w:firstLine="709"/>
        <w:jc w:val="both"/>
        <w:rPr>
          <w:rFonts w:ascii="Times New Roman" w:hAnsi="Times New Roman" w:cs="Times New Roman"/>
        </w:rPr>
      </w:pPr>
      <w:r w:rsidRPr="00652411">
        <w:rPr>
          <w:rFonts w:ascii="Times New Roman" w:hAnsi="Times New Roman" w:cs="Times New Roman"/>
        </w:rPr>
        <w:t>Федеральный проект "Развитие спорта высших достижений"</w:t>
      </w:r>
    </w:p>
    <w:p w14:paraId="0828614D" w14:textId="06BCB009" w:rsidR="00E54B64" w:rsidRPr="00E54B64" w:rsidRDefault="00E54B64" w:rsidP="00E54B64">
      <w:pPr>
        <w:spacing w:after="0" w:line="312" w:lineRule="auto"/>
        <w:ind w:firstLine="709"/>
        <w:jc w:val="both"/>
        <w:rPr>
          <w:rFonts w:ascii="Times New Roman" w:hAnsi="Times New Roman" w:cs="Times New Roman"/>
        </w:rPr>
      </w:pPr>
      <w:r w:rsidRPr="00E54B64">
        <w:rPr>
          <w:rFonts w:ascii="Times New Roman" w:hAnsi="Times New Roman" w:cs="Times New Roman"/>
        </w:rPr>
        <w:t>Далее в статье представлен анализ состояния фитнес-индустрии в Российской Федерации на момент 2025 года.</w:t>
      </w:r>
    </w:p>
    <w:p w14:paraId="3810A14D" w14:textId="2606E0B9" w:rsidR="00282DA6" w:rsidRPr="00E54B64"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По данным отчета Министерства спорта Российской Федерации общее количество физкультурно-спортивных клубов в стране – 23 180 объектов, из них 9 994 объектов – фитнес-клубы, 3522 – детские и подростковые клубы</w:t>
      </w:r>
      <w:r w:rsidR="00E54B64" w:rsidRPr="00E54B64">
        <w:rPr>
          <w:rFonts w:ascii="Times New Roman" w:hAnsi="Times New Roman" w:cs="Times New Roman"/>
        </w:rPr>
        <w:t xml:space="preserve"> [2].</w:t>
      </w:r>
      <w:r w:rsidRPr="00652411">
        <w:rPr>
          <w:rFonts w:ascii="Times New Roman" w:hAnsi="Times New Roman" w:cs="Times New Roman"/>
        </w:rPr>
        <w:t xml:space="preserve">  Подробно информация представлена в Таблице 1</w:t>
      </w:r>
      <w:r w:rsidR="00E54B64" w:rsidRPr="00E54B64">
        <w:rPr>
          <w:rFonts w:ascii="Times New Roman" w:hAnsi="Times New Roman" w:cs="Times New Roman"/>
        </w:rPr>
        <w:t>.</w:t>
      </w:r>
    </w:p>
    <w:p w14:paraId="71877529" w14:textId="77777777" w:rsidR="00076B14" w:rsidRPr="003B7AF8" w:rsidRDefault="0080604C" w:rsidP="00076B14">
      <w:pPr>
        <w:spacing w:after="0" w:line="312" w:lineRule="auto"/>
        <w:ind w:firstLine="709"/>
        <w:jc w:val="right"/>
        <w:rPr>
          <w:rFonts w:ascii="Times New Roman" w:hAnsi="Times New Roman" w:cs="Times New Roman"/>
          <w:b/>
          <w:bCs/>
        </w:rPr>
      </w:pPr>
      <w:r w:rsidRPr="00076B14">
        <w:rPr>
          <w:rFonts w:ascii="Times New Roman" w:hAnsi="Times New Roman" w:cs="Times New Roman"/>
          <w:b/>
          <w:bCs/>
        </w:rPr>
        <w:t xml:space="preserve">Таблица 1 </w:t>
      </w:r>
    </w:p>
    <w:p w14:paraId="7C880F6A" w14:textId="70B1D6B9" w:rsidR="0080604C" w:rsidRPr="00076B14" w:rsidRDefault="00A0678C" w:rsidP="00076B14">
      <w:pPr>
        <w:spacing w:after="0" w:line="312" w:lineRule="auto"/>
        <w:ind w:firstLine="709"/>
        <w:jc w:val="right"/>
        <w:rPr>
          <w:rFonts w:ascii="Times New Roman" w:hAnsi="Times New Roman" w:cs="Times New Roman"/>
          <w:b/>
          <w:bCs/>
        </w:rPr>
      </w:pPr>
      <w:r w:rsidRPr="00076B14">
        <w:rPr>
          <w:rFonts w:ascii="Times New Roman" w:hAnsi="Times New Roman" w:cs="Times New Roman"/>
          <w:b/>
          <w:bCs/>
        </w:rPr>
        <w:t xml:space="preserve">Фрагмент отчета Министерства спорта на 31 декабря 2024 года по разделу «Физкультурно-оздоровительная работа» </w:t>
      </w:r>
    </w:p>
    <w:tbl>
      <w:tblPr>
        <w:tblStyle w:val="ac"/>
        <w:tblW w:w="0" w:type="auto"/>
        <w:tblLook w:val="04A0" w:firstRow="1" w:lastRow="0" w:firstColumn="1" w:lastColumn="0" w:noHBand="0" w:noVBand="1"/>
      </w:tblPr>
      <w:tblGrid>
        <w:gridCol w:w="1855"/>
        <w:gridCol w:w="1936"/>
        <w:gridCol w:w="745"/>
        <w:gridCol w:w="742"/>
        <w:gridCol w:w="745"/>
        <w:gridCol w:w="1152"/>
        <w:gridCol w:w="1197"/>
        <w:gridCol w:w="973"/>
      </w:tblGrid>
      <w:tr w:rsidR="00282DA6" w:rsidRPr="00652411" w14:paraId="1C9D66C0" w14:textId="77777777" w:rsidTr="0080604C">
        <w:tc>
          <w:tcPr>
            <w:tcW w:w="0" w:type="auto"/>
            <w:gridSpan w:val="2"/>
            <w:vAlign w:val="center"/>
          </w:tcPr>
          <w:p w14:paraId="524266CB" w14:textId="77777777" w:rsidR="00282DA6" w:rsidRPr="00652411" w:rsidRDefault="00282DA6" w:rsidP="00652411">
            <w:pPr>
              <w:spacing w:line="312" w:lineRule="auto"/>
              <w:jc w:val="center"/>
              <w:rPr>
                <w:rFonts w:ascii="Times New Roman" w:hAnsi="Times New Roman" w:cs="Times New Roman"/>
              </w:rPr>
            </w:pPr>
          </w:p>
        </w:tc>
        <w:tc>
          <w:tcPr>
            <w:tcW w:w="0" w:type="auto"/>
            <w:gridSpan w:val="6"/>
            <w:vAlign w:val="center"/>
          </w:tcPr>
          <w:p w14:paraId="586E5AC7"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rPr>
              <w:t>Численность занимающихся, из общей численности занимающихся</w:t>
            </w:r>
          </w:p>
        </w:tc>
      </w:tr>
      <w:tr w:rsidR="00652411" w:rsidRPr="00652411" w14:paraId="7243F2EC" w14:textId="77777777" w:rsidTr="0080604C">
        <w:tc>
          <w:tcPr>
            <w:tcW w:w="0" w:type="auto"/>
            <w:vAlign w:val="center"/>
          </w:tcPr>
          <w:p w14:paraId="5D7BA126" w14:textId="1C1E0643"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rPr>
              <w:t xml:space="preserve">Количество </w:t>
            </w:r>
            <w:r w:rsidR="0080604C">
              <w:rPr>
                <w:rFonts w:ascii="Times New Roman" w:hAnsi="Times New Roman" w:cs="Times New Roman"/>
              </w:rPr>
              <w:t>организаций</w:t>
            </w:r>
          </w:p>
        </w:tc>
        <w:tc>
          <w:tcPr>
            <w:tcW w:w="0" w:type="auto"/>
            <w:vAlign w:val="center"/>
          </w:tcPr>
          <w:p w14:paraId="6AE220FE"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rPr>
              <w:t>Всего занимающихся</w:t>
            </w:r>
          </w:p>
        </w:tc>
        <w:tc>
          <w:tcPr>
            <w:tcW w:w="0" w:type="auto"/>
            <w:vAlign w:val="center"/>
          </w:tcPr>
          <w:p w14:paraId="0018A996"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rPr>
              <w:t>3-15 лет</w:t>
            </w:r>
          </w:p>
        </w:tc>
        <w:tc>
          <w:tcPr>
            <w:tcW w:w="0" w:type="auto"/>
            <w:vAlign w:val="center"/>
          </w:tcPr>
          <w:p w14:paraId="4D2E95F7"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rPr>
              <w:t>16-17 лет</w:t>
            </w:r>
          </w:p>
        </w:tc>
        <w:tc>
          <w:tcPr>
            <w:tcW w:w="0" w:type="auto"/>
            <w:vAlign w:val="center"/>
          </w:tcPr>
          <w:p w14:paraId="0F3C0099"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rPr>
              <w:t>18-28 лет</w:t>
            </w:r>
          </w:p>
        </w:tc>
        <w:tc>
          <w:tcPr>
            <w:tcW w:w="0" w:type="auto"/>
            <w:vAlign w:val="center"/>
          </w:tcPr>
          <w:p w14:paraId="0BEFA2DC" w14:textId="4BB8FA75" w:rsidR="00282DA6" w:rsidRPr="00652411" w:rsidRDefault="00282DA6" w:rsidP="00652411">
            <w:pPr>
              <w:spacing w:line="312" w:lineRule="auto"/>
              <w:jc w:val="center"/>
              <w:rPr>
                <w:rFonts w:ascii="Times New Roman" w:hAnsi="Times New Roman" w:cs="Times New Roman"/>
                <w:color w:val="000000"/>
              </w:rPr>
            </w:pPr>
            <w:r w:rsidRPr="00652411">
              <w:rPr>
                <w:rFonts w:ascii="Times New Roman" w:hAnsi="Times New Roman" w:cs="Times New Roman"/>
                <w:color w:val="000000"/>
              </w:rPr>
              <w:t>30-54 (ж</w:t>
            </w:r>
            <w:r w:rsidR="0080604C">
              <w:rPr>
                <w:rFonts w:ascii="Times New Roman" w:hAnsi="Times New Roman" w:cs="Times New Roman"/>
                <w:color w:val="000000"/>
              </w:rPr>
              <w:t>.</w:t>
            </w:r>
            <w:r w:rsidRPr="00652411">
              <w:rPr>
                <w:rFonts w:ascii="Times New Roman" w:hAnsi="Times New Roman" w:cs="Times New Roman"/>
                <w:color w:val="000000"/>
              </w:rPr>
              <w:t>), 59 (</w:t>
            </w:r>
            <w:r w:rsidR="0080604C">
              <w:rPr>
                <w:rFonts w:ascii="Times New Roman" w:hAnsi="Times New Roman" w:cs="Times New Roman"/>
                <w:color w:val="000000"/>
              </w:rPr>
              <w:t>м.</w:t>
            </w:r>
            <w:r w:rsidRPr="00652411">
              <w:rPr>
                <w:rFonts w:ascii="Times New Roman" w:hAnsi="Times New Roman" w:cs="Times New Roman"/>
                <w:color w:val="000000"/>
              </w:rPr>
              <w:t>) лет</w:t>
            </w:r>
          </w:p>
          <w:p w14:paraId="03478B05" w14:textId="77777777" w:rsidR="00282DA6" w:rsidRPr="00652411" w:rsidRDefault="00282DA6" w:rsidP="00652411">
            <w:pPr>
              <w:spacing w:line="312" w:lineRule="auto"/>
              <w:jc w:val="center"/>
              <w:rPr>
                <w:rFonts w:ascii="Times New Roman" w:hAnsi="Times New Roman" w:cs="Times New Roman"/>
              </w:rPr>
            </w:pPr>
          </w:p>
        </w:tc>
        <w:tc>
          <w:tcPr>
            <w:tcW w:w="0" w:type="auto"/>
            <w:vAlign w:val="center"/>
          </w:tcPr>
          <w:p w14:paraId="6AAD0206" w14:textId="14667EDA" w:rsidR="00282DA6" w:rsidRPr="00652411" w:rsidRDefault="00282DA6" w:rsidP="00652411">
            <w:pPr>
              <w:spacing w:line="312" w:lineRule="auto"/>
              <w:jc w:val="center"/>
              <w:rPr>
                <w:rFonts w:ascii="Times New Roman" w:hAnsi="Times New Roman" w:cs="Times New Roman"/>
                <w:color w:val="000000"/>
              </w:rPr>
            </w:pPr>
            <w:r w:rsidRPr="00652411">
              <w:rPr>
                <w:rFonts w:ascii="Times New Roman" w:hAnsi="Times New Roman" w:cs="Times New Roman"/>
                <w:color w:val="000000"/>
              </w:rPr>
              <w:t>55 (ж</w:t>
            </w:r>
            <w:r w:rsidR="0080604C">
              <w:rPr>
                <w:rFonts w:ascii="Times New Roman" w:hAnsi="Times New Roman" w:cs="Times New Roman"/>
                <w:color w:val="000000"/>
              </w:rPr>
              <w:t>.</w:t>
            </w:r>
            <w:r w:rsidRPr="00652411">
              <w:rPr>
                <w:rFonts w:ascii="Times New Roman" w:hAnsi="Times New Roman" w:cs="Times New Roman"/>
                <w:color w:val="000000"/>
              </w:rPr>
              <w:t>), 60 (м</w:t>
            </w:r>
            <w:r w:rsidR="0080604C">
              <w:rPr>
                <w:rFonts w:ascii="Times New Roman" w:hAnsi="Times New Roman" w:cs="Times New Roman"/>
                <w:color w:val="000000"/>
              </w:rPr>
              <w:t>.</w:t>
            </w:r>
            <w:r w:rsidRPr="00652411">
              <w:rPr>
                <w:rFonts w:ascii="Times New Roman" w:hAnsi="Times New Roman" w:cs="Times New Roman"/>
                <w:color w:val="000000"/>
              </w:rPr>
              <w:t>) – 79 лет</w:t>
            </w:r>
          </w:p>
          <w:p w14:paraId="0A339DC4" w14:textId="77777777" w:rsidR="00282DA6" w:rsidRPr="00652411" w:rsidRDefault="00282DA6" w:rsidP="00652411">
            <w:pPr>
              <w:spacing w:line="312" w:lineRule="auto"/>
              <w:jc w:val="center"/>
              <w:rPr>
                <w:rFonts w:ascii="Times New Roman" w:hAnsi="Times New Roman" w:cs="Times New Roman"/>
              </w:rPr>
            </w:pPr>
          </w:p>
        </w:tc>
        <w:tc>
          <w:tcPr>
            <w:tcW w:w="0" w:type="auto"/>
            <w:vAlign w:val="center"/>
          </w:tcPr>
          <w:p w14:paraId="79381CCD" w14:textId="77777777" w:rsidR="00282DA6" w:rsidRPr="00652411" w:rsidRDefault="00282DA6" w:rsidP="00652411">
            <w:pPr>
              <w:spacing w:line="312" w:lineRule="auto"/>
              <w:jc w:val="center"/>
              <w:rPr>
                <w:rFonts w:ascii="Times New Roman" w:hAnsi="Times New Roman" w:cs="Times New Roman"/>
                <w:color w:val="000000"/>
              </w:rPr>
            </w:pPr>
            <w:r w:rsidRPr="00652411">
              <w:rPr>
                <w:rFonts w:ascii="Times New Roman" w:hAnsi="Times New Roman" w:cs="Times New Roman"/>
                <w:color w:val="000000"/>
              </w:rPr>
              <w:t>80 лет и</w:t>
            </w:r>
            <w:r w:rsidRPr="00652411">
              <w:rPr>
                <w:rFonts w:ascii="Times New Roman" w:hAnsi="Times New Roman" w:cs="Times New Roman"/>
                <w:color w:val="000000"/>
              </w:rPr>
              <w:br/>
              <w:t>старше</w:t>
            </w:r>
          </w:p>
          <w:p w14:paraId="78B5D1F1" w14:textId="77777777" w:rsidR="00282DA6" w:rsidRPr="00652411" w:rsidRDefault="00282DA6" w:rsidP="00652411">
            <w:pPr>
              <w:spacing w:line="312" w:lineRule="auto"/>
              <w:jc w:val="center"/>
              <w:rPr>
                <w:rFonts w:ascii="Times New Roman" w:hAnsi="Times New Roman" w:cs="Times New Roman"/>
              </w:rPr>
            </w:pPr>
          </w:p>
        </w:tc>
      </w:tr>
      <w:tr w:rsidR="00652411" w:rsidRPr="00652411" w14:paraId="3ECA97D3" w14:textId="77777777" w:rsidTr="0080604C">
        <w:tc>
          <w:tcPr>
            <w:tcW w:w="0" w:type="auto"/>
            <w:vAlign w:val="center"/>
          </w:tcPr>
          <w:p w14:paraId="33CB48FD"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23 180</w:t>
            </w:r>
          </w:p>
        </w:tc>
        <w:tc>
          <w:tcPr>
            <w:tcW w:w="0" w:type="auto"/>
            <w:vAlign w:val="center"/>
          </w:tcPr>
          <w:p w14:paraId="18BBD220"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15 781 031</w:t>
            </w:r>
          </w:p>
        </w:tc>
        <w:tc>
          <w:tcPr>
            <w:tcW w:w="0" w:type="auto"/>
            <w:vAlign w:val="center"/>
          </w:tcPr>
          <w:p w14:paraId="7878E2A6"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1 163 606</w:t>
            </w:r>
          </w:p>
        </w:tc>
        <w:tc>
          <w:tcPr>
            <w:tcW w:w="0" w:type="auto"/>
            <w:vAlign w:val="center"/>
          </w:tcPr>
          <w:p w14:paraId="509BF004"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302 608</w:t>
            </w:r>
          </w:p>
        </w:tc>
        <w:tc>
          <w:tcPr>
            <w:tcW w:w="0" w:type="auto"/>
            <w:vAlign w:val="center"/>
          </w:tcPr>
          <w:p w14:paraId="0953B115"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3 635 434</w:t>
            </w:r>
          </w:p>
        </w:tc>
        <w:tc>
          <w:tcPr>
            <w:tcW w:w="0" w:type="auto"/>
            <w:vAlign w:val="center"/>
          </w:tcPr>
          <w:p w14:paraId="6ABD2E1F"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8 387 640</w:t>
            </w:r>
          </w:p>
        </w:tc>
        <w:tc>
          <w:tcPr>
            <w:tcW w:w="0" w:type="auto"/>
            <w:vAlign w:val="center"/>
          </w:tcPr>
          <w:p w14:paraId="769F3DA4"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2 268 337</w:t>
            </w:r>
          </w:p>
        </w:tc>
        <w:tc>
          <w:tcPr>
            <w:tcW w:w="0" w:type="auto"/>
            <w:vAlign w:val="center"/>
          </w:tcPr>
          <w:p w14:paraId="560CA95F"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23 406</w:t>
            </w:r>
          </w:p>
        </w:tc>
      </w:tr>
      <w:tr w:rsidR="00652411" w:rsidRPr="00652411" w14:paraId="1FF0446F" w14:textId="77777777" w:rsidTr="0080604C">
        <w:tc>
          <w:tcPr>
            <w:tcW w:w="0" w:type="auto"/>
            <w:vAlign w:val="center"/>
          </w:tcPr>
          <w:p w14:paraId="7D2F4C38"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9 994</w:t>
            </w:r>
          </w:p>
        </w:tc>
        <w:tc>
          <w:tcPr>
            <w:tcW w:w="0" w:type="auto"/>
            <w:vAlign w:val="center"/>
          </w:tcPr>
          <w:p w14:paraId="1A8C06FE"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10 471 263</w:t>
            </w:r>
          </w:p>
        </w:tc>
        <w:tc>
          <w:tcPr>
            <w:tcW w:w="0" w:type="auto"/>
            <w:vAlign w:val="center"/>
          </w:tcPr>
          <w:p w14:paraId="08F5017D"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339 570</w:t>
            </w:r>
          </w:p>
        </w:tc>
        <w:tc>
          <w:tcPr>
            <w:tcW w:w="0" w:type="auto"/>
            <w:vAlign w:val="center"/>
          </w:tcPr>
          <w:p w14:paraId="3A46C944"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143 677</w:t>
            </w:r>
          </w:p>
        </w:tc>
        <w:tc>
          <w:tcPr>
            <w:tcW w:w="0" w:type="auto"/>
            <w:vAlign w:val="center"/>
          </w:tcPr>
          <w:p w14:paraId="48A3F9AA"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2 497 251</w:t>
            </w:r>
          </w:p>
        </w:tc>
        <w:tc>
          <w:tcPr>
            <w:tcW w:w="0" w:type="auto"/>
            <w:vAlign w:val="center"/>
          </w:tcPr>
          <w:p w14:paraId="55ADBEEE"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6 036 510</w:t>
            </w:r>
          </w:p>
        </w:tc>
        <w:tc>
          <w:tcPr>
            <w:tcW w:w="0" w:type="auto"/>
            <w:vAlign w:val="center"/>
          </w:tcPr>
          <w:p w14:paraId="058297F1"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1 439 767</w:t>
            </w:r>
          </w:p>
        </w:tc>
        <w:tc>
          <w:tcPr>
            <w:tcW w:w="0" w:type="auto"/>
            <w:vAlign w:val="center"/>
          </w:tcPr>
          <w:p w14:paraId="7E0BA61B"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14 488</w:t>
            </w:r>
          </w:p>
        </w:tc>
      </w:tr>
      <w:tr w:rsidR="00652411" w:rsidRPr="00652411" w14:paraId="39F6A71D" w14:textId="77777777" w:rsidTr="0080604C">
        <w:tc>
          <w:tcPr>
            <w:tcW w:w="0" w:type="auto"/>
            <w:vAlign w:val="center"/>
          </w:tcPr>
          <w:p w14:paraId="5F7E1C15"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3 522</w:t>
            </w:r>
          </w:p>
        </w:tc>
        <w:tc>
          <w:tcPr>
            <w:tcW w:w="0" w:type="auto"/>
            <w:vAlign w:val="center"/>
          </w:tcPr>
          <w:p w14:paraId="04082F98"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515 795</w:t>
            </w:r>
          </w:p>
        </w:tc>
        <w:tc>
          <w:tcPr>
            <w:tcW w:w="0" w:type="auto"/>
            <w:vAlign w:val="center"/>
          </w:tcPr>
          <w:p w14:paraId="49168527"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348 973</w:t>
            </w:r>
          </w:p>
        </w:tc>
        <w:tc>
          <w:tcPr>
            <w:tcW w:w="0" w:type="auto"/>
            <w:vAlign w:val="center"/>
          </w:tcPr>
          <w:p w14:paraId="7FFF0613"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67 431</w:t>
            </w:r>
          </w:p>
        </w:tc>
        <w:tc>
          <w:tcPr>
            <w:tcW w:w="0" w:type="auto"/>
            <w:vAlign w:val="center"/>
          </w:tcPr>
          <w:p w14:paraId="75991018"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99 391</w:t>
            </w:r>
          </w:p>
        </w:tc>
        <w:tc>
          <w:tcPr>
            <w:tcW w:w="0" w:type="auto"/>
            <w:vAlign w:val="center"/>
          </w:tcPr>
          <w:p w14:paraId="0C0B590A"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w:t>
            </w:r>
          </w:p>
        </w:tc>
        <w:tc>
          <w:tcPr>
            <w:tcW w:w="0" w:type="auto"/>
            <w:vAlign w:val="center"/>
          </w:tcPr>
          <w:p w14:paraId="2A6392E6"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w:t>
            </w:r>
          </w:p>
        </w:tc>
        <w:tc>
          <w:tcPr>
            <w:tcW w:w="0" w:type="auto"/>
            <w:vAlign w:val="center"/>
          </w:tcPr>
          <w:p w14:paraId="49075938" w14:textId="77777777" w:rsidR="00282DA6" w:rsidRPr="00652411" w:rsidRDefault="00282DA6" w:rsidP="00652411">
            <w:pPr>
              <w:spacing w:line="312" w:lineRule="auto"/>
              <w:jc w:val="center"/>
              <w:rPr>
                <w:rFonts w:ascii="Times New Roman" w:hAnsi="Times New Roman" w:cs="Times New Roman"/>
              </w:rPr>
            </w:pPr>
            <w:r w:rsidRPr="00652411">
              <w:rPr>
                <w:rFonts w:ascii="Times New Roman" w:hAnsi="Times New Roman" w:cs="Times New Roman"/>
                <w:color w:val="000000"/>
              </w:rPr>
              <w:t>-</w:t>
            </w:r>
          </w:p>
        </w:tc>
      </w:tr>
    </w:tbl>
    <w:p w14:paraId="37F878E3" w14:textId="77777777" w:rsidR="00282DA6" w:rsidRPr="00652411" w:rsidRDefault="00282DA6" w:rsidP="0080604C">
      <w:pPr>
        <w:spacing w:after="0" w:line="312" w:lineRule="auto"/>
        <w:jc w:val="both"/>
        <w:rPr>
          <w:rFonts w:ascii="Times New Roman" w:hAnsi="Times New Roman" w:cs="Times New Roman"/>
        </w:rPr>
      </w:pPr>
    </w:p>
    <w:p w14:paraId="1A569A06" w14:textId="5AECF201" w:rsidR="00652411"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 xml:space="preserve"> </w:t>
      </w:r>
      <w:r w:rsidRPr="00B142BC">
        <w:rPr>
          <w:rFonts w:ascii="Times New Roman" w:hAnsi="Times New Roman" w:cs="Times New Roman"/>
        </w:rPr>
        <w:t>Одним из важнейших макроэкономических факторов, оказывающих значительное влияние на развитие рынка фитнес-индустрии, является уровень реальных располагаемых доходов населения и заработной платы. По предварительным данным Министерства экономического развития, в 2024 году отмечен рост реальных доходов на 7,1%, а реальной заработной платы – на 8,5%. Основной проблемой для отрасли остаются высокие темпы роста цен на потребляемые ресурсы, а также повышенная процентная ставка Центрального Банка, сдерживающая реализацию инвестиционных проектов.</w:t>
      </w:r>
      <w:r w:rsidR="0080604C" w:rsidRPr="0080604C">
        <w:rPr>
          <w:rFonts w:ascii="Times New Roman" w:hAnsi="Times New Roman" w:cs="Times New Roman"/>
        </w:rPr>
        <w:t xml:space="preserve"> </w:t>
      </w:r>
      <w:r w:rsidR="0080604C">
        <w:rPr>
          <w:rFonts w:ascii="Times New Roman" w:hAnsi="Times New Roman" w:cs="Times New Roman"/>
        </w:rPr>
        <w:t>В Таблице 2 представлены факторы, оказывающие влияние на развитие рынка фитнес-индустрии.</w:t>
      </w:r>
    </w:p>
    <w:p w14:paraId="6E84E76B" w14:textId="77777777" w:rsidR="00076B14" w:rsidRPr="003B7AF8" w:rsidRDefault="0080604C" w:rsidP="00076B14">
      <w:pPr>
        <w:spacing w:after="0" w:line="312" w:lineRule="auto"/>
        <w:ind w:firstLine="709"/>
        <w:jc w:val="right"/>
        <w:rPr>
          <w:rFonts w:ascii="Times New Roman" w:hAnsi="Times New Roman" w:cs="Times New Roman"/>
          <w:b/>
          <w:bCs/>
        </w:rPr>
      </w:pPr>
      <w:r w:rsidRPr="00076B14">
        <w:rPr>
          <w:rFonts w:ascii="Times New Roman" w:hAnsi="Times New Roman" w:cs="Times New Roman"/>
          <w:b/>
          <w:bCs/>
        </w:rPr>
        <w:t xml:space="preserve">Таблица 2 </w:t>
      </w:r>
    </w:p>
    <w:p w14:paraId="3E5C14BC" w14:textId="05467294" w:rsidR="0080604C" w:rsidRPr="00076B14" w:rsidRDefault="0080604C" w:rsidP="00076B14">
      <w:pPr>
        <w:spacing w:after="0" w:line="312" w:lineRule="auto"/>
        <w:ind w:firstLine="709"/>
        <w:jc w:val="right"/>
        <w:rPr>
          <w:rFonts w:ascii="Times New Roman" w:hAnsi="Times New Roman" w:cs="Times New Roman"/>
          <w:b/>
          <w:bCs/>
        </w:rPr>
      </w:pPr>
      <w:r w:rsidRPr="00076B14">
        <w:rPr>
          <w:rFonts w:ascii="Times New Roman" w:hAnsi="Times New Roman" w:cs="Times New Roman"/>
          <w:b/>
          <w:bCs/>
        </w:rPr>
        <w:t>Факторы, оказывающие влияние на развитие фитнес-индустрии на 2023-2024 г</w:t>
      </w:r>
      <w:r w:rsidR="00076B14">
        <w:rPr>
          <w:rFonts w:ascii="Times New Roman" w:hAnsi="Times New Roman" w:cs="Times New Roman"/>
          <w:b/>
          <w:bCs/>
        </w:rPr>
        <w:t>од</w:t>
      </w:r>
      <w:r w:rsidRPr="00076B14">
        <w:rPr>
          <w:rFonts w:ascii="Times New Roman" w:hAnsi="Times New Roman" w:cs="Times New Roman"/>
          <w:b/>
          <w:bCs/>
        </w:rPr>
        <w:t xml:space="preserve"> в сравнении</w:t>
      </w:r>
    </w:p>
    <w:tbl>
      <w:tblPr>
        <w:tblStyle w:val="ac"/>
        <w:tblpPr w:leftFromText="180" w:rightFromText="180" w:vertAnchor="text" w:horzAnchor="page" w:tblpX="2318" w:tblpY="108"/>
        <w:tblW w:w="0" w:type="auto"/>
        <w:tblLook w:val="04A0" w:firstRow="1" w:lastRow="0" w:firstColumn="1" w:lastColumn="0" w:noHBand="0" w:noVBand="1"/>
      </w:tblPr>
      <w:tblGrid>
        <w:gridCol w:w="5085"/>
        <w:gridCol w:w="1509"/>
        <w:gridCol w:w="1386"/>
      </w:tblGrid>
      <w:tr w:rsidR="0080604C" w:rsidRPr="00652411" w14:paraId="588CDDEE" w14:textId="77777777" w:rsidTr="0080604C">
        <w:tc>
          <w:tcPr>
            <w:tcW w:w="5085" w:type="dxa"/>
            <w:vAlign w:val="center"/>
          </w:tcPr>
          <w:p w14:paraId="4EBC766A"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Показатель</w:t>
            </w:r>
          </w:p>
        </w:tc>
        <w:tc>
          <w:tcPr>
            <w:tcW w:w="1509" w:type="dxa"/>
            <w:vAlign w:val="center"/>
          </w:tcPr>
          <w:p w14:paraId="2F17A690"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2023</w:t>
            </w:r>
          </w:p>
        </w:tc>
        <w:tc>
          <w:tcPr>
            <w:tcW w:w="1386" w:type="dxa"/>
            <w:vAlign w:val="center"/>
          </w:tcPr>
          <w:p w14:paraId="395DA4ED" w14:textId="76ECB07B"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2024</w:t>
            </w:r>
          </w:p>
        </w:tc>
      </w:tr>
      <w:tr w:rsidR="0080604C" w:rsidRPr="00652411" w14:paraId="6CFCC41C" w14:textId="77777777" w:rsidTr="0080604C">
        <w:tc>
          <w:tcPr>
            <w:tcW w:w="5085" w:type="dxa"/>
            <w:vAlign w:val="center"/>
          </w:tcPr>
          <w:p w14:paraId="2F2AD864"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Темпы роста ВВП, %</w:t>
            </w:r>
          </w:p>
        </w:tc>
        <w:tc>
          <w:tcPr>
            <w:tcW w:w="1509" w:type="dxa"/>
            <w:vAlign w:val="center"/>
          </w:tcPr>
          <w:p w14:paraId="19BC4182"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3,6</w:t>
            </w:r>
          </w:p>
        </w:tc>
        <w:tc>
          <w:tcPr>
            <w:tcW w:w="1386" w:type="dxa"/>
            <w:vAlign w:val="center"/>
          </w:tcPr>
          <w:p w14:paraId="6629CF26" w14:textId="0B5B3752"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4,1</w:t>
            </w:r>
          </w:p>
        </w:tc>
      </w:tr>
      <w:tr w:rsidR="0080604C" w:rsidRPr="00652411" w14:paraId="00F50423" w14:textId="77777777" w:rsidTr="0080604C">
        <w:tc>
          <w:tcPr>
            <w:tcW w:w="5085" w:type="dxa"/>
            <w:vAlign w:val="center"/>
          </w:tcPr>
          <w:p w14:paraId="37FC682C"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lastRenderedPageBreak/>
              <w:t>Курс рубля к доллару</w:t>
            </w:r>
            <w:r>
              <w:rPr>
                <w:rFonts w:ascii="Times New Roman" w:hAnsi="Times New Roman" w:cs="Times New Roman"/>
              </w:rPr>
              <w:t xml:space="preserve"> </w:t>
            </w:r>
            <w:r w:rsidRPr="00652411">
              <w:rPr>
                <w:rFonts w:ascii="Times New Roman" w:hAnsi="Times New Roman" w:cs="Times New Roman"/>
              </w:rPr>
              <w:t>США, среднегодовой,</w:t>
            </w:r>
            <w:r>
              <w:rPr>
                <w:rFonts w:ascii="Times New Roman" w:hAnsi="Times New Roman" w:cs="Times New Roman"/>
              </w:rPr>
              <w:t xml:space="preserve"> </w:t>
            </w:r>
            <w:r w:rsidRPr="00652411">
              <w:rPr>
                <w:rFonts w:ascii="Times New Roman" w:hAnsi="Times New Roman" w:cs="Times New Roman"/>
              </w:rPr>
              <w:t>руб./долл. США</w:t>
            </w:r>
          </w:p>
        </w:tc>
        <w:tc>
          <w:tcPr>
            <w:tcW w:w="1509" w:type="dxa"/>
            <w:vAlign w:val="center"/>
          </w:tcPr>
          <w:p w14:paraId="69353F84"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85,2</w:t>
            </w:r>
          </w:p>
        </w:tc>
        <w:tc>
          <w:tcPr>
            <w:tcW w:w="1386" w:type="dxa"/>
            <w:vAlign w:val="center"/>
          </w:tcPr>
          <w:p w14:paraId="3AD29B7F" w14:textId="72D2A74E"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91,2</w:t>
            </w:r>
          </w:p>
          <w:p w14:paraId="3CA42A3C" w14:textId="77777777" w:rsidR="0080604C" w:rsidRPr="00652411" w:rsidRDefault="0080604C" w:rsidP="00EF3ECE">
            <w:pPr>
              <w:spacing w:line="312" w:lineRule="auto"/>
              <w:jc w:val="center"/>
              <w:rPr>
                <w:rFonts w:ascii="Times New Roman" w:hAnsi="Times New Roman" w:cs="Times New Roman"/>
              </w:rPr>
            </w:pPr>
          </w:p>
        </w:tc>
      </w:tr>
      <w:tr w:rsidR="0080604C" w:rsidRPr="00652411" w14:paraId="67052B15" w14:textId="77777777" w:rsidTr="0080604C">
        <w:tc>
          <w:tcPr>
            <w:tcW w:w="5085" w:type="dxa"/>
            <w:vAlign w:val="center"/>
          </w:tcPr>
          <w:p w14:paraId="52AC5901"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Реальные доходы</w:t>
            </w:r>
            <w:r>
              <w:rPr>
                <w:rFonts w:ascii="Times New Roman" w:hAnsi="Times New Roman" w:cs="Times New Roman"/>
              </w:rPr>
              <w:t xml:space="preserve"> </w:t>
            </w:r>
            <w:r w:rsidRPr="00652411">
              <w:rPr>
                <w:rFonts w:ascii="Times New Roman" w:hAnsi="Times New Roman" w:cs="Times New Roman"/>
              </w:rPr>
              <w:t>населения, %</w:t>
            </w:r>
          </w:p>
        </w:tc>
        <w:tc>
          <w:tcPr>
            <w:tcW w:w="1509" w:type="dxa"/>
            <w:vAlign w:val="center"/>
          </w:tcPr>
          <w:p w14:paraId="38DF4E3C"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4,3</w:t>
            </w:r>
          </w:p>
        </w:tc>
        <w:tc>
          <w:tcPr>
            <w:tcW w:w="1386" w:type="dxa"/>
            <w:vAlign w:val="center"/>
          </w:tcPr>
          <w:p w14:paraId="69C9350D" w14:textId="615CE0BA"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7,1</w:t>
            </w:r>
          </w:p>
        </w:tc>
      </w:tr>
      <w:tr w:rsidR="0080604C" w:rsidRPr="00652411" w14:paraId="7174C8A4" w14:textId="77777777" w:rsidTr="0080604C">
        <w:tc>
          <w:tcPr>
            <w:tcW w:w="5085" w:type="dxa"/>
            <w:vAlign w:val="center"/>
          </w:tcPr>
          <w:p w14:paraId="4C52AC08"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Дефицит бюджета, %</w:t>
            </w:r>
            <w:r>
              <w:rPr>
                <w:rFonts w:ascii="Times New Roman" w:hAnsi="Times New Roman" w:cs="Times New Roman"/>
              </w:rPr>
              <w:t xml:space="preserve"> </w:t>
            </w:r>
            <w:r w:rsidRPr="00652411">
              <w:rPr>
                <w:rFonts w:ascii="Times New Roman" w:hAnsi="Times New Roman" w:cs="Times New Roman"/>
              </w:rPr>
              <w:t>от ВВП</w:t>
            </w:r>
          </w:p>
        </w:tc>
        <w:tc>
          <w:tcPr>
            <w:tcW w:w="1509" w:type="dxa"/>
            <w:vAlign w:val="center"/>
          </w:tcPr>
          <w:p w14:paraId="1A9E7BDC"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1,9</w:t>
            </w:r>
          </w:p>
        </w:tc>
        <w:tc>
          <w:tcPr>
            <w:tcW w:w="1386" w:type="dxa"/>
            <w:vAlign w:val="center"/>
          </w:tcPr>
          <w:p w14:paraId="4D026F4D" w14:textId="27A10335"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2,0</w:t>
            </w:r>
          </w:p>
        </w:tc>
      </w:tr>
      <w:tr w:rsidR="0080604C" w:rsidRPr="00652411" w14:paraId="21B37855" w14:textId="77777777" w:rsidTr="0080604C">
        <w:tc>
          <w:tcPr>
            <w:tcW w:w="5085" w:type="dxa"/>
            <w:vAlign w:val="center"/>
          </w:tcPr>
          <w:p w14:paraId="28423C75"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Инвестиции в</w:t>
            </w:r>
            <w:r>
              <w:rPr>
                <w:rFonts w:ascii="Times New Roman" w:hAnsi="Times New Roman" w:cs="Times New Roman"/>
              </w:rPr>
              <w:t xml:space="preserve"> </w:t>
            </w:r>
            <w:r w:rsidRPr="00652411">
              <w:rPr>
                <w:rFonts w:ascii="Times New Roman" w:hAnsi="Times New Roman" w:cs="Times New Roman"/>
              </w:rPr>
              <w:t>основной капитал, %</w:t>
            </w:r>
          </w:p>
        </w:tc>
        <w:tc>
          <w:tcPr>
            <w:tcW w:w="1509" w:type="dxa"/>
            <w:vAlign w:val="center"/>
          </w:tcPr>
          <w:p w14:paraId="1016182B"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7,5</w:t>
            </w:r>
          </w:p>
        </w:tc>
        <w:tc>
          <w:tcPr>
            <w:tcW w:w="1386" w:type="dxa"/>
            <w:vAlign w:val="center"/>
          </w:tcPr>
          <w:p w14:paraId="3AA9DDEC" w14:textId="3D6BD20B"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7,2</w:t>
            </w:r>
          </w:p>
        </w:tc>
      </w:tr>
      <w:tr w:rsidR="0080604C" w:rsidRPr="00652411" w14:paraId="2761C0FE" w14:textId="77777777" w:rsidTr="0080604C">
        <w:tc>
          <w:tcPr>
            <w:tcW w:w="5085" w:type="dxa"/>
            <w:vAlign w:val="center"/>
          </w:tcPr>
          <w:p w14:paraId="7D1C274C"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Инфляция, %</w:t>
            </w:r>
          </w:p>
        </w:tc>
        <w:tc>
          <w:tcPr>
            <w:tcW w:w="1509" w:type="dxa"/>
            <w:vAlign w:val="center"/>
          </w:tcPr>
          <w:p w14:paraId="3C1C8752" w14:textId="77777777"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5,9</w:t>
            </w:r>
          </w:p>
        </w:tc>
        <w:tc>
          <w:tcPr>
            <w:tcW w:w="1386" w:type="dxa"/>
            <w:vAlign w:val="center"/>
          </w:tcPr>
          <w:p w14:paraId="2D80203E" w14:textId="1775CE7F" w:rsidR="0080604C" w:rsidRPr="00652411" w:rsidRDefault="0080604C" w:rsidP="00EF3ECE">
            <w:pPr>
              <w:spacing w:line="312" w:lineRule="auto"/>
              <w:jc w:val="center"/>
              <w:rPr>
                <w:rFonts w:ascii="Times New Roman" w:hAnsi="Times New Roman" w:cs="Times New Roman"/>
              </w:rPr>
            </w:pPr>
            <w:r w:rsidRPr="00652411">
              <w:rPr>
                <w:rFonts w:ascii="Times New Roman" w:hAnsi="Times New Roman" w:cs="Times New Roman"/>
              </w:rPr>
              <w:t>9,5</w:t>
            </w:r>
          </w:p>
        </w:tc>
      </w:tr>
    </w:tbl>
    <w:p w14:paraId="33FEBD99" w14:textId="77777777" w:rsidR="00652411" w:rsidRDefault="00652411" w:rsidP="00652411">
      <w:pPr>
        <w:spacing w:after="0" w:line="312" w:lineRule="auto"/>
        <w:ind w:firstLine="709"/>
        <w:jc w:val="both"/>
        <w:rPr>
          <w:rFonts w:ascii="Times New Roman" w:hAnsi="Times New Roman" w:cs="Times New Roman"/>
        </w:rPr>
      </w:pPr>
    </w:p>
    <w:p w14:paraId="6D09CCFF" w14:textId="29DBCD40" w:rsidR="00282DA6" w:rsidRPr="00652411"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В 2024 году методика оценки инвестиций в фитнес-индустрию была пересмотрена на основе опросов и публичных заявлений операторов об объеме инвестиций на квадратный метр, помноженном на общий объем введенных в эксплуатацию фитнес-объектов. Общий объем инвестиций в 430 новых фитнес-центров составил приблизительно 27,9 млрд рублей, при этом 14% инвестиций направлено в студийный сегмент, а 86% – в полноформатные клубы.</w:t>
      </w:r>
    </w:p>
    <w:p w14:paraId="2C0A5025" w14:textId="77777777"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В 2024 году рынок фитнес-услуг достиг отметки в 262,8 миллиарда рублей.</w:t>
      </w:r>
    </w:p>
    <w:p w14:paraId="22B15883" w14:textId="77777777"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По сравнению с предыдущим годом, зафиксирован значительный рост рынка, составивший 23%. Средний рост стоимости фитнес-услуг в годовом исчислении достиг 11% в 2024 году.</w:t>
      </w:r>
    </w:p>
    <w:p w14:paraId="089D4E7E" w14:textId="77777777"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Уровень проникновения фитнес-услуг в общую массу населения достиг 4,75% к концу 2023 года.</w:t>
      </w:r>
    </w:p>
    <w:p w14:paraId="15D8F465" w14:textId="77777777"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Общий объём инвестиций, направленных на развитие коммерческих фитнес-клубов и студий, составил 27,9 миллиарда рублей. Данная сумма не включает затраты на возведение новых объектов.</w:t>
      </w:r>
    </w:p>
    <w:p w14:paraId="7521F8C8" w14:textId="55D1344F" w:rsidR="00282DA6" w:rsidRPr="00B142BC"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Десять крупнейших сетевых операторов фитнес-услуг контролируют приблизительно 28% всего рынка.</w:t>
      </w:r>
      <w:r w:rsidR="003B7AF8">
        <w:rPr>
          <w:rFonts w:ascii="Times New Roman" w:hAnsi="Times New Roman" w:cs="Times New Roman"/>
        </w:rPr>
        <w:t xml:space="preserve"> </w:t>
      </w:r>
      <w:r w:rsidR="003B7AF8" w:rsidRPr="003B7AF8">
        <w:rPr>
          <w:rFonts w:ascii="Times New Roman" w:hAnsi="Times New Roman" w:cs="Times New Roman"/>
        </w:rPr>
        <w:t>В России крупнейшими сетями по выручке являются World Class, X-</w:t>
      </w:r>
      <w:proofErr w:type="spellStart"/>
      <w:r w:rsidR="003B7AF8" w:rsidRPr="003B7AF8">
        <w:rPr>
          <w:rFonts w:ascii="Times New Roman" w:hAnsi="Times New Roman" w:cs="Times New Roman"/>
        </w:rPr>
        <w:t>Fit</w:t>
      </w:r>
      <w:proofErr w:type="spellEnd"/>
      <w:r w:rsidR="003B7AF8" w:rsidRPr="003B7AF8">
        <w:rPr>
          <w:rFonts w:ascii="Times New Roman" w:hAnsi="Times New Roman" w:cs="Times New Roman"/>
        </w:rPr>
        <w:t>, </w:t>
      </w:r>
      <w:proofErr w:type="spellStart"/>
      <w:r w:rsidR="003B7AF8" w:rsidRPr="003B7AF8">
        <w:rPr>
          <w:rFonts w:ascii="Times New Roman" w:hAnsi="Times New Roman" w:cs="Times New Roman"/>
        </w:rPr>
        <w:t>Alex</w:t>
      </w:r>
      <w:proofErr w:type="spellEnd"/>
      <w:r w:rsidR="003B7AF8" w:rsidRPr="003B7AF8">
        <w:rPr>
          <w:rFonts w:ascii="Times New Roman" w:hAnsi="Times New Roman" w:cs="Times New Roman"/>
        </w:rPr>
        <w:t xml:space="preserve"> Fitness, Fitness House и «Территория фитнеса». </w:t>
      </w:r>
    </w:p>
    <w:p w14:paraId="33520C97" w14:textId="782B2AD1" w:rsidR="00282DA6"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В 2024 году рынок продемонстрировал самые высокие темпы роста за последние 7 лет, исключая восстановительный рост 2021 года. В номинальном выражении рост рынка составил 23%, абсолютный прирост – более 49 млрд рублей. Общее количество фитнес-объектов превысило 14 тыс., а число вновь открытых – 430.</w:t>
      </w:r>
      <w:r w:rsidR="00652411">
        <w:rPr>
          <w:rFonts w:ascii="Times New Roman" w:hAnsi="Times New Roman" w:cs="Times New Roman"/>
        </w:rPr>
        <w:t xml:space="preserve"> </w:t>
      </w:r>
      <w:r w:rsidR="0094104B">
        <w:rPr>
          <w:rFonts w:ascii="Times New Roman" w:hAnsi="Times New Roman" w:cs="Times New Roman"/>
        </w:rPr>
        <w:t>На Рисунке 1</w:t>
      </w:r>
      <w:r w:rsidR="00652411">
        <w:rPr>
          <w:rFonts w:ascii="Times New Roman" w:hAnsi="Times New Roman" w:cs="Times New Roman"/>
        </w:rPr>
        <w:t xml:space="preserve"> представлена динамика изменений рынка фитнес-услуг в сравнении по годам. </w:t>
      </w:r>
    </w:p>
    <w:p w14:paraId="6DB9C11D" w14:textId="77777777" w:rsidR="00282DA6" w:rsidRDefault="00282DA6" w:rsidP="0094104B">
      <w:pPr>
        <w:spacing w:after="0" w:line="312" w:lineRule="auto"/>
        <w:ind w:firstLine="709"/>
        <w:jc w:val="center"/>
        <w:rPr>
          <w:rFonts w:ascii="Times New Roman" w:hAnsi="Times New Roman" w:cs="Times New Roman"/>
        </w:rPr>
      </w:pPr>
      <w:r w:rsidRPr="00652411">
        <w:rPr>
          <w:rFonts w:ascii="Times New Roman" w:hAnsi="Times New Roman" w:cs="Times New Roman"/>
          <w:i/>
          <w:iCs/>
          <w:noProof/>
        </w:rPr>
        <w:lastRenderedPageBreak/>
        <w:drawing>
          <wp:inline distT="0" distB="0" distL="0" distR="0" wp14:anchorId="2E748011" wp14:editId="149D7C2B">
            <wp:extent cx="5307981" cy="3066585"/>
            <wp:effectExtent l="0" t="0" r="6985" b="6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5BD1370" w14:textId="076A2844" w:rsidR="0094104B" w:rsidRPr="00B142BC" w:rsidRDefault="0094104B" w:rsidP="0094104B">
      <w:pPr>
        <w:spacing w:after="0" w:line="312" w:lineRule="auto"/>
        <w:ind w:firstLine="709"/>
        <w:jc w:val="center"/>
        <w:rPr>
          <w:rFonts w:ascii="Times New Roman" w:hAnsi="Times New Roman" w:cs="Times New Roman"/>
        </w:rPr>
      </w:pPr>
      <w:r>
        <w:rPr>
          <w:rFonts w:ascii="Times New Roman" w:hAnsi="Times New Roman" w:cs="Times New Roman"/>
        </w:rPr>
        <w:t>Рисунок 1 – Динамика изменений рынка фитнес-услуг</w:t>
      </w:r>
    </w:p>
    <w:p w14:paraId="0A326196" w14:textId="77777777" w:rsidR="00282DA6" w:rsidRPr="00B142BC"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Однако рост рынка обусловлен не только открытием новых объектов, но и повышением цен, которые впервые за долгое время превысили официальный уровень инфляции (11% прирост цен в фитнес-индустрии против 9,5% в целом по потребительской корзине).</w:t>
      </w:r>
    </w:p>
    <w:p w14:paraId="49D66845" w14:textId="77777777" w:rsidR="00282DA6" w:rsidRPr="00B142BC"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В период с сентября 2023 года по август 2024 года зафиксированы лучшие показатели в отрасли с точки зрения ежемесячного прироста, который не опускался ниже 19%. Подобная ситуация наблюдалась впервые с 2018 года. Наилучшим месяцем по обороту рынка стал ноябрь (27,8 млрд рублей), а по приросту к предыдущему году – декабрь (27%).</w:t>
      </w:r>
    </w:p>
    <w:p w14:paraId="416B026C" w14:textId="77777777" w:rsidR="00282DA6" w:rsidRPr="00B142BC"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Инфляция внесла основной вклад в рост рынка в 2023 году, обеспечив около 46% прироста (11% рост цен). Чистый прирост за счет открытия новых объектов и увеличения клиентской базы составил около 40% роста рынка. Фитнес-клубы и студии наиболее активно повышали цены в первой половине года, временно приостанавливали эту практику в августе-сентябре, а затем вновь вернулись к повышению в ноябре-декабре.</w:t>
      </w:r>
    </w:p>
    <w:p w14:paraId="4148BD87" w14:textId="77777777" w:rsidR="00282DA6" w:rsidRPr="00B142BC"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В классических клубах продолжает наблюдаться уверенный рост доли доходов от дополнительных услуг. В студийном сегменте и клубах с рекуррентными платежами изменения менее выражены. Существуют значительные географические различия в структуре выручки, где доля дополнительных услуг в столичных фитнес-объектах составляет около 40%, а в городах с населением менее 500 тыс. жителей – около 25%.</w:t>
      </w:r>
    </w:p>
    <w:p w14:paraId="1E9BCB26" w14:textId="77777777" w:rsidR="00282DA6" w:rsidRPr="00B142BC" w:rsidRDefault="00282DA6" w:rsidP="00652411">
      <w:pPr>
        <w:spacing w:after="0" w:line="312" w:lineRule="auto"/>
        <w:ind w:firstLine="709"/>
        <w:jc w:val="both"/>
        <w:rPr>
          <w:rFonts w:ascii="Times New Roman" w:hAnsi="Times New Roman" w:cs="Times New Roman"/>
        </w:rPr>
      </w:pPr>
      <w:r w:rsidRPr="00B142BC">
        <w:rPr>
          <w:rFonts w:ascii="Times New Roman" w:hAnsi="Times New Roman" w:cs="Times New Roman"/>
        </w:rPr>
        <w:t>Продажи годовых абонементов продолжают расти, но более медленными темпами, что приводит к снижению их доли в общей структуре продаж. Наиболее динамично развивается сегмент рекуррентных карт, доля которых достигла 10% и продолжит расти.</w:t>
      </w:r>
    </w:p>
    <w:p w14:paraId="134CF9AD" w14:textId="006F0B3A" w:rsidR="00282DA6" w:rsidRPr="00E54B64"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Объем российского рынка студий в 2024 г. достиг 36,4 млрд руб. Темпы прироста студийного сегмента рынка замедлились до 32%, но все равно остаются значительно выше рынка в целом. Этому способствует открытие новых объектов и повышение цен, которые в студийном сегменте росли более высокими темпами, чем в классических клубах</w:t>
      </w:r>
      <w:r w:rsidR="00E54B64" w:rsidRPr="00E54B64">
        <w:rPr>
          <w:rFonts w:ascii="Times New Roman" w:hAnsi="Times New Roman" w:cs="Times New Roman"/>
        </w:rPr>
        <w:t xml:space="preserve"> [4].</w:t>
      </w:r>
    </w:p>
    <w:p w14:paraId="75260E55" w14:textId="77777777" w:rsidR="00282DA6" w:rsidRPr="00652411"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lastRenderedPageBreak/>
        <w:t xml:space="preserve">Рынок фитнес-услуг характеризуется высокой конкуренцией, обусловленной несколькими факторами. Во-первых, наблюдается экспоненциальный рост интереса к здоровому образу жизни, стимулирующий спрос на фитнес-услуги и, соответственно, приток новых участников рынка. Во-вторых, сравнительно низкие барьеры входа, особенно в густонаселенных городских районах, приводят к увеличению числа фитнес-клубов и студий. В-третьих, диверсификация фитнес-услуг – от традиционных тренажерных залов до специализированных студий (йога, пилатес, кроссфит) – расширяет целевую аудиторию и усиливает конкурентную борьбу. </w:t>
      </w:r>
    </w:p>
    <w:p w14:paraId="5000C1C6" w14:textId="77777777"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Технологические инновации (фитнес-приложения, носимые устройства) также изменяют ландшафт рынка, предлагая персонализированные услуги и создавая новых конкурентов. В условиях высокой конкуренции ключевым фактором успеха становится предложение уникальных и высококачественных услуг, наряду с применением эффективных маркетинговых стратегий, ориентированных на потребности и предпочтения клиентов. Важно также поддержание высокого уровня обслуживания и создание положительного имиджа бренда.</w:t>
      </w:r>
    </w:p>
    <w:p w14:paraId="48169C2D" w14:textId="77777777"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Финансирование фитнес-центра может осуществляться различными способами, включая собственные средства, банковские кредиты (предоставляются на основе бизнес-плана и финансовых прогнозов), привлечение инвесторов (в обмен на долю в бизнесе), лизинг оборудования (снижает первоначальные затраты), государственные гранты и субсидии (при соответствии определенным критериям) и краудфандинг (для небольших проектов). Выбор способа финансирования зависит от масштаба проекта, финансовых возможностей, кредитной истории заемщика, условий кредитования и возможных рисков.</w:t>
      </w:r>
    </w:p>
    <w:p w14:paraId="26723C9F" w14:textId="17771F14" w:rsidR="00282DA6" w:rsidRPr="00DE3D28" w:rsidRDefault="00282DA6" w:rsidP="00652411">
      <w:pPr>
        <w:spacing w:after="0" w:line="312" w:lineRule="auto"/>
        <w:ind w:firstLine="709"/>
        <w:jc w:val="both"/>
        <w:rPr>
          <w:rFonts w:ascii="Times New Roman" w:hAnsi="Times New Roman" w:cs="Times New Roman"/>
        </w:rPr>
      </w:pPr>
      <w:r w:rsidRPr="00DE3D28">
        <w:rPr>
          <w:rFonts w:ascii="Times New Roman" w:hAnsi="Times New Roman" w:cs="Times New Roman"/>
        </w:rPr>
        <w:t>Деятельность фитнес-центров подлежит регулированию на местном, региональном и национальном уровнях. Основные аспекты регулирования включают лицензирование и регистрацию, требования к квалификации персонала (тренеры, инструкторы), соблюдение норм безопасности и гигиены, а также защиту прав потребителей (информация о ценах, условиях членства, возврат средств). Конкретные требования могут варьироваться в зависимости от юрисдикции. Соблюдение нормативных требований необходимо для легальной деятельности и привлечения клиентов, уверенных в качестве предоставляемых услуг</w:t>
      </w:r>
      <w:r w:rsidR="00E54B64" w:rsidRPr="00E54B64">
        <w:rPr>
          <w:rFonts w:ascii="Times New Roman" w:hAnsi="Times New Roman" w:cs="Times New Roman"/>
        </w:rPr>
        <w:t xml:space="preserve"> [6].</w:t>
      </w:r>
    </w:p>
    <w:p w14:paraId="078C642D" w14:textId="77777777" w:rsidR="00282DA6" w:rsidRPr="00E54B64" w:rsidRDefault="00282DA6" w:rsidP="00652411">
      <w:pPr>
        <w:spacing w:after="0" w:line="312" w:lineRule="auto"/>
        <w:ind w:firstLine="709"/>
        <w:jc w:val="both"/>
        <w:rPr>
          <w:rFonts w:ascii="Times New Roman" w:hAnsi="Times New Roman" w:cs="Times New Roman"/>
        </w:rPr>
      </w:pPr>
      <w:r w:rsidRPr="00E54B64">
        <w:rPr>
          <w:rFonts w:ascii="Times New Roman" w:hAnsi="Times New Roman" w:cs="Times New Roman"/>
        </w:rPr>
        <w:t>Траектория адаптации рынка фитнес-услуг.</w:t>
      </w:r>
    </w:p>
    <w:p w14:paraId="2FEBBF9B" w14:textId="77777777" w:rsidR="00282DA6" w:rsidRPr="00652411"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Проведенное исследование рынка фитнес-услуг в Российской Федерации позволило идентифицировать ключевые факторы, определяющие траекторию его эволюции и адаптации к текущим реалиям. Ретроспективный анализ формирования рынка выявил устойчивый рост интереса к здоровому образу жизни, несмотря на макроэкономические колебания и исторические прецеденты, что свидетельствует о трансформации общественных установок и ценностных ориентиров.</w:t>
      </w:r>
    </w:p>
    <w:p w14:paraId="02226C10" w14:textId="77777777" w:rsidR="00282DA6" w:rsidRPr="00652411"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 xml:space="preserve">Современная ситуация характеризуется гетерогенностью предложений, адресованных диверсифицированным потребностям клиентской базы. Наблюдаемые тенденции, детерминированные факторами спроса, включают в себя расширение сети </w:t>
      </w:r>
      <w:r w:rsidRPr="00652411">
        <w:rPr>
          <w:rFonts w:ascii="Times New Roman" w:hAnsi="Times New Roman" w:cs="Times New Roman"/>
        </w:rPr>
        <w:lastRenderedPageBreak/>
        <w:t>специализированных фитнес-студий, интеграцию цифровых решений и внедрение инновационных тренировочных методик. Это создает предпосылки для расширения бизнес-возможностей и привлечения новых сегментов целевой аудитории.</w:t>
      </w:r>
    </w:p>
    <w:p w14:paraId="7D98519D" w14:textId="77777777" w:rsidR="00282DA6" w:rsidRPr="00652411"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 xml:space="preserve">Нормативно-правовое регулирование фитнес-индустрии играет существенную роль в формировании </w:t>
      </w:r>
      <w:proofErr w:type="spellStart"/>
      <w:r w:rsidRPr="00652411">
        <w:rPr>
          <w:rFonts w:ascii="Times New Roman" w:hAnsi="Times New Roman" w:cs="Times New Roman"/>
        </w:rPr>
        <w:t>инвестиционно</w:t>
      </w:r>
      <w:proofErr w:type="spellEnd"/>
      <w:r w:rsidRPr="00652411">
        <w:rPr>
          <w:rFonts w:ascii="Times New Roman" w:hAnsi="Times New Roman" w:cs="Times New Roman"/>
        </w:rPr>
        <w:t xml:space="preserve"> привлекательной среды. Эффективное регулирование способствует повышению стандартов качества обслуживания и обеспечению безопасности потребителей.</w:t>
      </w:r>
    </w:p>
    <w:p w14:paraId="577FEFE5" w14:textId="77777777" w:rsidR="00282DA6" w:rsidRPr="00652411"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Несмотря на существующие препятствия, такие как волатильность экономической конъюнктуры и изменчивость потребительских предпочтений, фитнес-индустрия демонстрирует устойчивую динамику развития. Внедрение передовых технологий и адаптация к актуальным трендам являются критическими факторами, обеспечивающими дальнейший рост и устойчивость сектора.</w:t>
      </w:r>
    </w:p>
    <w:p w14:paraId="6222F856" w14:textId="0FF15CE4" w:rsidR="00282DA6" w:rsidRPr="00E54B64" w:rsidRDefault="00282DA6" w:rsidP="00652411">
      <w:pPr>
        <w:spacing w:after="0" w:line="312" w:lineRule="auto"/>
        <w:ind w:firstLine="709"/>
        <w:jc w:val="both"/>
        <w:rPr>
          <w:rFonts w:ascii="Times New Roman" w:hAnsi="Times New Roman" w:cs="Times New Roman"/>
        </w:rPr>
      </w:pPr>
      <w:r w:rsidRPr="00652411">
        <w:rPr>
          <w:rFonts w:ascii="Times New Roman" w:hAnsi="Times New Roman" w:cs="Times New Roman"/>
        </w:rPr>
        <w:t>Перспективы развития фитнес-индустрии оцениваются как благоприятные. Для успешной навигации в условиях динамичного изменения потребительского спроса и преодоления потенциальных трудностей необходим непрерывный мониторинг рынка и проведение аналитических исследований</w:t>
      </w:r>
      <w:r w:rsidR="00E54B64">
        <w:rPr>
          <w:rFonts w:ascii="Times New Roman" w:hAnsi="Times New Roman" w:cs="Times New Roman"/>
        </w:rPr>
        <w:t xml:space="preserve"> </w:t>
      </w:r>
      <w:r w:rsidR="00E54B64" w:rsidRPr="00E54B64">
        <w:rPr>
          <w:rFonts w:ascii="Times New Roman" w:hAnsi="Times New Roman" w:cs="Times New Roman"/>
        </w:rPr>
        <w:t>[3].</w:t>
      </w:r>
    </w:p>
    <w:p w14:paraId="729DD467" w14:textId="77777777" w:rsidR="00282DA6" w:rsidRPr="00E54B64"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Перспективы развития фитнес-индустрии России: экономический анализ и векторы трансформации</w:t>
      </w:r>
      <w:r w:rsidRPr="00E54B64">
        <w:rPr>
          <w:rFonts w:ascii="Times New Roman" w:hAnsi="Times New Roman" w:cs="Times New Roman"/>
        </w:rPr>
        <w:t>.</w:t>
      </w:r>
    </w:p>
    <w:p w14:paraId="2BEA7977" w14:textId="77777777" w:rsidR="00282DA6" w:rsidRPr="00652411"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Анализ данных за 2023–2024 годы позволяет констатировать, что российский рынок фитнес-услуг переживает фазу интенсивного роста, демонстрируя рекордные темпы прироста на уровне 23%. Однако природа этого роста носит двойственный характер, что задает специфические траектории для его будущего развития. Рост был обеспечен не только за счет экстенсивных факторов – открытия 430 новых объектов и расширения клиентской базы, – но и вследствие интенсивного ценового фактора, впервые за долгое время превысившего общий уровень инфляции. Это указывает на формирование новой ценовой устойчивости отрасли и изменение потребительского восприятия фитнеса как категории обязательных расходов.</w:t>
      </w:r>
    </w:p>
    <w:p w14:paraId="5D42A26B" w14:textId="77777777" w:rsidR="00282DA6" w:rsidRPr="00652411"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Ключевым макроэкономическим драйвером текущего роста выступил значительный прирост реальных располагаемых доходов населения и заработной платы, который создал благоприятный фон для расширения клиентской базы, несмотря на повышение стоимости услуг. В то же время отрасль продолжает сталкиваться со структурными ограничениями, такими как высокие темпы роста цен на потребляемые ресурсы и повышенная процентная ставка Центрального банка, сдерживающая реализацию капиталоемких инвестиционных проектов.</w:t>
      </w:r>
    </w:p>
    <w:p w14:paraId="605DDB0E" w14:textId="77777777" w:rsidR="00282DA6" w:rsidRPr="00652411"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 xml:space="preserve">В среднесрочной перспективе можно прогнозировать замедление темпов роста до более устойчивых значений, обусловленное как исчерпанием инфляционного драйвера, так и эффектом высокой базы 2024 года. Основным вектором развития станет углубляющаяся сегментация рынка. Бурный рост студийного сегмента, темпы прироста которого сохраняются на уровне 32%, является структурным ответом на запрос потребителей на персонализацию, узкую специализацию и формирование комьюнити. Экономика студий, </w:t>
      </w:r>
      <w:r w:rsidRPr="004148C3">
        <w:rPr>
          <w:rFonts w:ascii="Times New Roman" w:hAnsi="Times New Roman" w:cs="Times New Roman"/>
        </w:rPr>
        <w:lastRenderedPageBreak/>
        <w:t>характеризующаяся оптимизацией площадей и способностью устанавливать более высокие ценовые надбавки, будет продолжать привлекать инвестиции, составляя конкуренцию классическим многопрофильным клубам.</w:t>
      </w:r>
    </w:p>
    <w:p w14:paraId="0BA98F6A" w14:textId="77777777" w:rsidR="00282DA6" w:rsidRPr="00652411"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 xml:space="preserve">Параллельно наблюдается фундаментальная трансформация моделей монетизации. Традиционная зависимость от продажи годовых абонементов ослабевает, о чем свидетельствует снижение их доли в структуре продаж. На смену приходит модель рекуррентных платежей, доля которых достигла 10% и демонстрирует наиболее динамичный рост. Данная модель повышает предсказуемость денежных потоков операторов и укрепляет лояльность клиентов, формируя долгосрочные отношения. Одновременно классические клубы вынуждены диверсифицировать доходы, активно развивая направление дополнительных услуг, доля которых в выручке столичных клубов достигает 40%. Это свидетельствует о стратегической трансформации полноформатных клубов в многофункциональные </w:t>
      </w:r>
      <w:proofErr w:type="spellStart"/>
      <w:r w:rsidRPr="004148C3">
        <w:rPr>
          <w:rFonts w:ascii="Times New Roman" w:hAnsi="Times New Roman" w:cs="Times New Roman"/>
        </w:rPr>
        <w:t>wellness</w:t>
      </w:r>
      <w:proofErr w:type="spellEnd"/>
      <w:r w:rsidRPr="004148C3">
        <w:rPr>
          <w:rFonts w:ascii="Times New Roman" w:hAnsi="Times New Roman" w:cs="Times New Roman"/>
        </w:rPr>
        <w:t>-центры.</w:t>
      </w:r>
    </w:p>
    <w:p w14:paraId="02EF9B7F" w14:textId="77777777" w:rsidR="00282DA6" w:rsidRPr="00652411"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 xml:space="preserve">Значительный потенциал роста связан с географической экспансией и региональной диверсификацией. Низкий уровень проникновения фитнес-услуг в массы населения – 4,75% – указывает на далеко не исчерпанный потенциал, сосредоточенный в городах-миллионниках и городах с населением свыше 500 тысяч жителей. При этом данные демонстрируют существенные различия в структуре выручки между столичными и региональными объектами, что требует разработки дифференцированных бизнес-моделей – от </w:t>
      </w:r>
      <w:proofErr w:type="spellStart"/>
      <w:r w:rsidRPr="004148C3">
        <w:rPr>
          <w:rFonts w:ascii="Times New Roman" w:hAnsi="Times New Roman" w:cs="Times New Roman"/>
        </w:rPr>
        <w:t>премиализации</w:t>
      </w:r>
      <w:proofErr w:type="spellEnd"/>
      <w:r w:rsidRPr="004148C3">
        <w:rPr>
          <w:rFonts w:ascii="Times New Roman" w:hAnsi="Times New Roman" w:cs="Times New Roman"/>
        </w:rPr>
        <w:t xml:space="preserve"> и диверсификации в столицах до более доступных и сфокусированных на базовых услугах форматов в регионах.</w:t>
      </w:r>
    </w:p>
    <w:p w14:paraId="35EF3167" w14:textId="1860EB33" w:rsidR="0094104B" w:rsidRPr="0094104B" w:rsidRDefault="00046524" w:rsidP="0094104B">
      <w:pPr>
        <w:spacing w:after="0" w:line="312" w:lineRule="auto"/>
        <w:ind w:firstLine="709"/>
        <w:jc w:val="both"/>
        <w:rPr>
          <w:rFonts w:ascii="Times New Roman" w:hAnsi="Times New Roman" w:cs="Times New Roman"/>
        </w:rPr>
      </w:pPr>
      <w:r w:rsidRPr="00046524">
        <w:rPr>
          <w:rFonts w:ascii="Times New Roman" w:hAnsi="Times New Roman" w:cs="Times New Roman"/>
        </w:rPr>
        <w:t xml:space="preserve">Подводя итог можно </w:t>
      </w:r>
      <w:r>
        <w:rPr>
          <w:rFonts w:ascii="Times New Roman" w:hAnsi="Times New Roman" w:cs="Times New Roman"/>
        </w:rPr>
        <w:t>обозначить</w:t>
      </w:r>
      <w:r w:rsidRPr="00046524">
        <w:rPr>
          <w:rFonts w:ascii="Times New Roman" w:hAnsi="Times New Roman" w:cs="Times New Roman"/>
        </w:rPr>
        <w:t>, что</w:t>
      </w:r>
      <w:r>
        <w:rPr>
          <w:rFonts w:ascii="Times New Roman" w:hAnsi="Times New Roman" w:cs="Times New Roman"/>
          <w:b/>
          <w:bCs/>
        </w:rPr>
        <w:t xml:space="preserve"> </w:t>
      </w:r>
      <w:r>
        <w:rPr>
          <w:rFonts w:ascii="Times New Roman" w:hAnsi="Times New Roman" w:cs="Times New Roman"/>
        </w:rPr>
        <w:t>к</w:t>
      </w:r>
      <w:r w:rsidR="0094104B" w:rsidRPr="0094104B">
        <w:rPr>
          <w:rFonts w:ascii="Times New Roman" w:hAnsi="Times New Roman" w:cs="Times New Roman"/>
        </w:rPr>
        <w:t>лючевым фактором, стимулирующим развитие отрасли, остается увеличение располагаемых доходов населения. Рентабельность бизнеса испытывает устойчивое давление из-за роста издержек на ресурсы и стоимости кредитных средств. Инфляционный фактор в подъеме рынка постепенно теряет свою силу.</w:t>
      </w:r>
    </w:p>
    <w:p w14:paraId="3447003B" w14:textId="1ACB9B88" w:rsidR="0094104B" w:rsidRPr="0094104B" w:rsidRDefault="0094104B" w:rsidP="0094104B">
      <w:pPr>
        <w:spacing w:after="0" w:line="312" w:lineRule="auto"/>
        <w:ind w:firstLine="709"/>
        <w:jc w:val="both"/>
        <w:rPr>
          <w:rFonts w:ascii="Times New Roman" w:hAnsi="Times New Roman" w:cs="Times New Roman"/>
        </w:rPr>
      </w:pPr>
      <w:r w:rsidRPr="0094104B">
        <w:rPr>
          <w:rFonts w:ascii="Times New Roman" w:hAnsi="Times New Roman" w:cs="Times New Roman"/>
        </w:rPr>
        <w:t xml:space="preserve">Наблюдаются значительные структурные изменения. Сегментация рынка ускоряется, при этом студийный формат демонстрирует темпы роста, в 1,5 раза превышающие общие показатели по отрасли. Классические фитнес-клубы преобразуются в многофункциональные </w:t>
      </w:r>
      <w:proofErr w:type="spellStart"/>
      <w:r w:rsidRPr="0094104B">
        <w:rPr>
          <w:rFonts w:ascii="Times New Roman" w:hAnsi="Times New Roman" w:cs="Times New Roman"/>
        </w:rPr>
        <w:t>wellness</w:t>
      </w:r>
      <w:proofErr w:type="spellEnd"/>
      <w:r w:rsidRPr="0094104B">
        <w:rPr>
          <w:rFonts w:ascii="Times New Roman" w:hAnsi="Times New Roman" w:cs="Times New Roman"/>
        </w:rPr>
        <w:t>-центры. Усиливается дифференциация между бизнес-моделями, применяемыми в столичных и региональных рынках.</w:t>
      </w:r>
    </w:p>
    <w:p w14:paraId="22E099AC" w14:textId="02D9F6C4" w:rsidR="0094104B" w:rsidRPr="0094104B" w:rsidRDefault="0094104B" w:rsidP="0094104B">
      <w:pPr>
        <w:spacing w:after="0" w:line="312" w:lineRule="auto"/>
        <w:ind w:firstLine="709"/>
        <w:jc w:val="both"/>
        <w:rPr>
          <w:rFonts w:ascii="Times New Roman" w:hAnsi="Times New Roman" w:cs="Times New Roman"/>
        </w:rPr>
      </w:pPr>
      <w:r w:rsidRPr="0094104B">
        <w:rPr>
          <w:rFonts w:ascii="Times New Roman" w:hAnsi="Times New Roman" w:cs="Times New Roman"/>
        </w:rPr>
        <w:t>Происходит трансформация бизнес-моделей, характеризующаяся переходом от единоразовых продаж к системе рекуррентной монетизации, при этом доля подписок достигла 10%. Растет важность дополнительных сервисов, которые в Москве формируют до 40% выручки. Ценообразование становится более адаптивным и дифференцированным.</w:t>
      </w:r>
    </w:p>
    <w:p w14:paraId="1D7424D7" w14:textId="5B6F16EF" w:rsidR="0094104B" w:rsidRPr="0094104B" w:rsidRDefault="0094104B" w:rsidP="0094104B">
      <w:pPr>
        <w:spacing w:after="0" w:line="312" w:lineRule="auto"/>
        <w:ind w:firstLine="709"/>
        <w:jc w:val="both"/>
        <w:rPr>
          <w:rFonts w:ascii="Times New Roman" w:hAnsi="Times New Roman" w:cs="Times New Roman"/>
        </w:rPr>
      </w:pPr>
      <w:r w:rsidRPr="0094104B">
        <w:rPr>
          <w:rFonts w:ascii="Times New Roman" w:hAnsi="Times New Roman" w:cs="Times New Roman"/>
        </w:rPr>
        <w:t>В инвестиционной сфере отмечается переориентация в сторону менее капиталоемких форматов. Хотя 86% инвестиций по-прежнему направляются в полноформатные клубы, студийный сегмент демонстрирует более высокие темпы роста. Географическая экспансия все больше ориентируется на регионы с населением от 500 тыс. человек.</w:t>
      </w:r>
    </w:p>
    <w:p w14:paraId="0BB61F48" w14:textId="77777777" w:rsidR="0094104B" w:rsidRPr="0094104B" w:rsidRDefault="0094104B" w:rsidP="0094104B">
      <w:pPr>
        <w:spacing w:after="0" w:line="312" w:lineRule="auto"/>
        <w:ind w:firstLine="709"/>
        <w:jc w:val="both"/>
        <w:rPr>
          <w:rFonts w:ascii="Times New Roman" w:hAnsi="Times New Roman" w:cs="Times New Roman"/>
        </w:rPr>
      </w:pPr>
      <w:r w:rsidRPr="0094104B">
        <w:rPr>
          <w:rFonts w:ascii="Times New Roman" w:hAnsi="Times New Roman" w:cs="Times New Roman"/>
        </w:rPr>
        <w:lastRenderedPageBreak/>
        <w:t>Перспективы роста обусловлены уровнем проникновения фитнес-услуг (4,75%), указывающим на значительный потенциал для расширения рынка (отчет Минспорта). Основной прирост ожидается за счет региональных рынков и освоения новых ценовых сегментов. Ключевым показателем успеха становится увеличение клиентской базы, а не ценовая конкуренция.</w:t>
      </w:r>
    </w:p>
    <w:p w14:paraId="64DAB218" w14:textId="62A2F10F" w:rsidR="0094104B" w:rsidRPr="0094104B" w:rsidRDefault="0094104B" w:rsidP="0094104B">
      <w:pPr>
        <w:spacing w:after="0" w:line="312" w:lineRule="auto"/>
        <w:ind w:firstLine="709"/>
        <w:jc w:val="both"/>
        <w:rPr>
          <w:rFonts w:ascii="Times New Roman" w:hAnsi="Times New Roman" w:cs="Times New Roman"/>
        </w:rPr>
      </w:pPr>
      <w:r w:rsidRPr="0094104B">
        <w:rPr>
          <w:rFonts w:ascii="Times New Roman" w:hAnsi="Times New Roman" w:cs="Times New Roman"/>
        </w:rPr>
        <w:t>Тем не менее, сохраняется чувствительность отрасли к колебаниям доходов населения. Растет конкуренция в перспективных сегментах, таких как студийные форматы и регионы. Стоимость финансирования остается фактором, сдерживающим масштабные инвестиционные проекты.</w:t>
      </w:r>
    </w:p>
    <w:p w14:paraId="34EF319D" w14:textId="77777777" w:rsidR="0094104B" w:rsidRPr="0094104B" w:rsidRDefault="0094104B" w:rsidP="0094104B">
      <w:pPr>
        <w:spacing w:after="0" w:line="312" w:lineRule="auto"/>
        <w:ind w:firstLine="709"/>
        <w:jc w:val="both"/>
        <w:rPr>
          <w:rFonts w:ascii="Times New Roman" w:hAnsi="Times New Roman" w:cs="Times New Roman"/>
        </w:rPr>
      </w:pPr>
      <w:r w:rsidRPr="0094104B">
        <w:rPr>
          <w:rFonts w:ascii="Times New Roman" w:hAnsi="Times New Roman" w:cs="Times New Roman"/>
        </w:rPr>
        <w:t>В заключение, индустрия физической культуры переходит от экстенсивного к качественному развитию. Успех в будущем будет определяться способностью операторов адаптироваться к меняющейся структуре спроса и оптимизировать бизнес-модели в соответствии с новыми рыночными реалиями.</w:t>
      </w:r>
    </w:p>
    <w:p w14:paraId="01FD51BC" w14:textId="2006C1B7" w:rsidR="00282DA6" w:rsidRPr="004148C3" w:rsidRDefault="00282DA6" w:rsidP="00652411">
      <w:pPr>
        <w:spacing w:after="0" w:line="312" w:lineRule="auto"/>
        <w:ind w:firstLine="709"/>
        <w:jc w:val="both"/>
        <w:rPr>
          <w:rFonts w:ascii="Times New Roman" w:hAnsi="Times New Roman" w:cs="Times New Roman"/>
        </w:rPr>
      </w:pPr>
      <w:r w:rsidRPr="004148C3">
        <w:rPr>
          <w:rFonts w:ascii="Times New Roman" w:hAnsi="Times New Roman" w:cs="Times New Roman"/>
        </w:rPr>
        <w:t>Таким образом, перспективы развития фитнес-индустрии России связаны с переходом от экстенсивного роста, подпитываемого макроэкономической конъюнктурой, к качественной структурной трансформации. Успех операторов будет определяться их способностью адаптироваться к ключевым трендам: углубляющейся сегментации, переходу на гибкие модели монетизации, диверсификации доходов и корректной оценке региональной специфики в условиях сохраняющихся макроэкономических рисков и растущей конкуренции.</w:t>
      </w:r>
    </w:p>
    <w:p w14:paraId="486C358D" w14:textId="77777777" w:rsidR="00282DA6" w:rsidRPr="00652411" w:rsidRDefault="00282DA6" w:rsidP="0094104B">
      <w:pPr>
        <w:spacing w:after="0" w:line="312" w:lineRule="auto"/>
        <w:jc w:val="both"/>
        <w:rPr>
          <w:rFonts w:ascii="Times New Roman" w:hAnsi="Times New Roman" w:cs="Times New Roman"/>
        </w:rPr>
      </w:pPr>
    </w:p>
    <w:p w14:paraId="7A4F48CC" w14:textId="03ADCF05" w:rsidR="00282DA6" w:rsidRPr="00046524" w:rsidRDefault="00046524" w:rsidP="00046524">
      <w:pPr>
        <w:spacing w:after="0" w:line="312" w:lineRule="auto"/>
        <w:ind w:firstLine="709"/>
        <w:jc w:val="center"/>
        <w:rPr>
          <w:rFonts w:ascii="Times New Roman" w:hAnsi="Times New Roman" w:cs="Times New Roman"/>
          <w:b/>
          <w:bCs/>
          <w:i/>
          <w:iCs/>
        </w:rPr>
      </w:pPr>
      <w:r w:rsidRPr="00046524">
        <w:rPr>
          <w:rFonts w:ascii="Times New Roman" w:hAnsi="Times New Roman" w:cs="Times New Roman"/>
          <w:b/>
          <w:bCs/>
          <w:i/>
          <w:iCs/>
        </w:rPr>
        <w:t>Литература</w:t>
      </w:r>
    </w:p>
    <w:p w14:paraId="0D716C36" w14:textId="77777777" w:rsidR="00E54B64" w:rsidRPr="00E54B64" w:rsidRDefault="00E54B64" w:rsidP="00E54B64">
      <w:pPr>
        <w:pStyle w:val="a7"/>
        <w:numPr>
          <w:ilvl w:val="0"/>
          <w:numId w:val="4"/>
        </w:numPr>
        <w:spacing w:after="0" w:line="312" w:lineRule="auto"/>
        <w:ind w:left="0" w:firstLine="357"/>
        <w:jc w:val="both"/>
        <w:rPr>
          <w:rFonts w:ascii="Times New Roman" w:hAnsi="Times New Roman" w:cs="Times New Roman"/>
        </w:rPr>
      </w:pPr>
      <w:r w:rsidRPr="00E54B64">
        <w:rPr>
          <w:rFonts w:ascii="Times New Roman" w:hAnsi="Times New Roman" w:cs="Times New Roman"/>
        </w:rPr>
        <w:t xml:space="preserve">Вовк, К. В. Характеристика и тенденции развития российского рынка фитнес-услуг / К. В. Вовк, Я. С. </w:t>
      </w:r>
      <w:proofErr w:type="spellStart"/>
      <w:r w:rsidRPr="00E54B64">
        <w:rPr>
          <w:rFonts w:ascii="Times New Roman" w:hAnsi="Times New Roman" w:cs="Times New Roman"/>
        </w:rPr>
        <w:t>Храмченкова</w:t>
      </w:r>
      <w:proofErr w:type="spellEnd"/>
      <w:r w:rsidRPr="00E54B64">
        <w:rPr>
          <w:rFonts w:ascii="Times New Roman" w:hAnsi="Times New Roman" w:cs="Times New Roman"/>
        </w:rPr>
        <w:t xml:space="preserve"> // Тенденции развития науки и образования. – 2024. – № 112-3. – С. 24-27. – DOI 10.18411/trnio-08-2024-113. – EDN BEWZHC.</w:t>
      </w:r>
    </w:p>
    <w:p w14:paraId="53511794" w14:textId="77777777" w:rsidR="00E54B64" w:rsidRPr="00E54B64" w:rsidRDefault="00E54B64" w:rsidP="00E54B64">
      <w:pPr>
        <w:pStyle w:val="a7"/>
        <w:numPr>
          <w:ilvl w:val="0"/>
          <w:numId w:val="4"/>
        </w:numPr>
        <w:spacing w:after="0" w:line="312" w:lineRule="auto"/>
        <w:ind w:left="0" w:firstLine="357"/>
        <w:jc w:val="both"/>
        <w:rPr>
          <w:rFonts w:ascii="Times New Roman" w:hAnsi="Times New Roman" w:cs="Times New Roman"/>
        </w:rPr>
      </w:pPr>
      <w:r w:rsidRPr="00E54B64">
        <w:rPr>
          <w:rFonts w:ascii="Times New Roman" w:hAnsi="Times New Roman" w:cs="Times New Roman"/>
        </w:rPr>
        <w:t>Министерство спорта Российской Федерации. Сводный отчет 1-ФК по Российской Федерации</w:t>
      </w:r>
      <w:r w:rsidRPr="00E54B64">
        <w:rPr>
          <w:rFonts w:ascii="Times New Roman" w:hAnsi="Times New Roman" w:cs="Times New Roman"/>
          <w:i/>
          <w:iCs/>
        </w:rPr>
        <w:t xml:space="preserve"> </w:t>
      </w:r>
      <w:r w:rsidRPr="00E54B64">
        <w:rPr>
          <w:rFonts w:ascii="Times New Roman" w:hAnsi="Times New Roman" w:cs="Times New Roman"/>
        </w:rPr>
        <w:t>[Электронный ресурс]. Дата публикации. URL: https://storage.minsport.gov.ru/cms-uploads/cms/Svodnyj_otchet_1_FK_po_Rossijskoj_Federaczii_c59f937566.xlsx (дата обращения: 27.10.2025). </w:t>
      </w:r>
    </w:p>
    <w:p w14:paraId="690258F0" w14:textId="77777777" w:rsidR="00E54B64" w:rsidRPr="00E54B64" w:rsidRDefault="00E54B64" w:rsidP="00E54B64">
      <w:pPr>
        <w:pStyle w:val="a7"/>
        <w:numPr>
          <w:ilvl w:val="0"/>
          <w:numId w:val="4"/>
        </w:numPr>
        <w:spacing w:after="0" w:line="312" w:lineRule="auto"/>
        <w:ind w:left="0" w:firstLine="357"/>
        <w:jc w:val="both"/>
        <w:rPr>
          <w:rFonts w:ascii="Times New Roman" w:hAnsi="Times New Roman" w:cs="Times New Roman"/>
        </w:rPr>
      </w:pPr>
      <w:r w:rsidRPr="00E54B64">
        <w:rPr>
          <w:rFonts w:ascii="Times New Roman" w:hAnsi="Times New Roman" w:cs="Times New Roman"/>
        </w:rPr>
        <w:t>Панов, Е. В. История развития фитнес-индустрии в Российской Федерации / Е. В. Панов // Научный дайджест Восточно-Сибирского института МВД России. – 2024. – № 4(26). – С. 108-117. – EDN AOLHFN.</w:t>
      </w:r>
    </w:p>
    <w:p w14:paraId="1A1AD6AB" w14:textId="77777777" w:rsidR="00E54B64" w:rsidRPr="00E54B64" w:rsidRDefault="00E54B64" w:rsidP="00E54B64">
      <w:pPr>
        <w:pStyle w:val="a7"/>
        <w:numPr>
          <w:ilvl w:val="0"/>
          <w:numId w:val="4"/>
        </w:numPr>
        <w:spacing w:after="0" w:line="312" w:lineRule="auto"/>
        <w:ind w:left="0" w:firstLine="357"/>
        <w:jc w:val="both"/>
        <w:rPr>
          <w:rFonts w:ascii="Times New Roman" w:hAnsi="Times New Roman" w:cs="Times New Roman"/>
        </w:rPr>
      </w:pPr>
      <w:r w:rsidRPr="00E54B64">
        <w:rPr>
          <w:rFonts w:ascii="Times New Roman" w:hAnsi="Times New Roman" w:cs="Times New Roman"/>
        </w:rPr>
        <w:t xml:space="preserve">Рынок фитнес-услуг России в 2024 г.: динамика, регионы, тренды. Исследование </w:t>
      </w:r>
      <w:proofErr w:type="spellStart"/>
      <w:r w:rsidRPr="00E54B64">
        <w:rPr>
          <w:rFonts w:ascii="Times New Roman" w:hAnsi="Times New Roman" w:cs="Times New Roman"/>
        </w:rPr>
        <w:t>FitnessData</w:t>
      </w:r>
      <w:proofErr w:type="spellEnd"/>
      <w:r w:rsidRPr="00E54B64">
        <w:rPr>
          <w:rFonts w:ascii="Times New Roman" w:hAnsi="Times New Roman" w:cs="Times New Roman"/>
        </w:rPr>
        <w:t xml:space="preserve"> при поддержке 1</w:t>
      </w:r>
      <w:proofErr w:type="gramStart"/>
      <w:r w:rsidRPr="00E54B64">
        <w:rPr>
          <w:rFonts w:ascii="Times New Roman" w:hAnsi="Times New Roman" w:cs="Times New Roman"/>
        </w:rPr>
        <w:t>С:Фитнес</w:t>
      </w:r>
      <w:proofErr w:type="gramEnd"/>
      <w:r w:rsidRPr="00E54B64">
        <w:rPr>
          <w:rFonts w:ascii="Times New Roman" w:hAnsi="Times New Roman" w:cs="Times New Roman"/>
        </w:rPr>
        <w:t xml:space="preserve"> клуб, Matrix, </w:t>
      </w:r>
      <w:proofErr w:type="spellStart"/>
      <w:r w:rsidRPr="00E54B64">
        <w:rPr>
          <w:rFonts w:ascii="Times New Roman" w:hAnsi="Times New Roman" w:cs="Times New Roman"/>
        </w:rPr>
        <w:t>Haunds</w:t>
      </w:r>
      <w:proofErr w:type="spellEnd"/>
    </w:p>
    <w:p w14:paraId="12AA0BAE" w14:textId="77777777" w:rsidR="00E54B64" w:rsidRPr="00E54B64" w:rsidRDefault="00E54B64" w:rsidP="00E54B64">
      <w:pPr>
        <w:pStyle w:val="a7"/>
        <w:numPr>
          <w:ilvl w:val="0"/>
          <w:numId w:val="4"/>
        </w:numPr>
        <w:spacing w:after="0" w:line="312" w:lineRule="auto"/>
        <w:ind w:left="0" w:firstLine="357"/>
        <w:jc w:val="both"/>
        <w:rPr>
          <w:rFonts w:ascii="Times New Roman" w:hAnsi="Times New Roman" w:cs="Times New Roman"/>
        </w:rPr>
      </w:pPr>
      <w:r w:rsidRPr="00E54B64">
        <w:rPr>
          <w:rFonts w:ascii="Times New Roman" w:hAnsi="Times New Roman" w:cs="Times New Roman"/>
        </w:rPr>
        <w:t xml:space="preserve">Хайруллина, А. Д. Анализ и перспективы развития российского рынка фитнес-индустрии / А. Д. Хайруллина, Р. Р. </w:t>
      </w:r>
      <w:proofErr w:type="spellStart"/>
      <w:r w:rsidRPr="00E54B64">
        <w:rPr>
          <w:rFonts w:ascii="Times New Roman" w:hAnsi="Times New Roman" w:cs="Times New Roman"/>
        </w:rPr>
        <w:t>Рендикова</w:t>
      </w:r>
      <w:proofErr w:type="spellEnd"/>
      <w:r w:rsidRPr="00E54B64">
        <w:rPr>
          <w:rFonts w:ascii="Times New Roman" w:hAnsi="Times New Roman" w:cs="Times New Roman"/>
        </w:rPr>
        <w:t xml:space="preserve"> // Наука и спорт: современные тенденции. – 2022. – Т. 10, № 2. – С. 92-100. – DOI 10.36028/2308-8826-2022-10-2-92-100. – EDN BJWEZP.</w:t>
      </w:r>
    </w:p>
    <w:p w14:paraId="208ED679" w14:textId="77777777" w:rsidR="00E54B64" w:rsidRPr="00E54B64" w:rsidRDefault="00E54B64" w:rsidP="00E54B64">
      <w:pPr>
        <w:pStyle w:val="a7"/>
        <w:numPr>
          <w:ilvl w:val="0"/>
          <w:numId w:val="4"/>
        </w:numPr>
        <w:spacing w:after="0" w:line="312" w:lineRule="auto"/>
        <w:ind w:left="0" w:firstLine="357"/>
        <w:jc w:val="both"/>
        <w:rPr>
          <w:rFonts w:ascii="Times New Roman" w:hAnsi="Times New Roman" w:cs="Times New Roman"/>
        </w:rPr>
      </w:pPr>
      <w:proofErr w:type="spellStart"/>
      <w:r w:rsidRPr="00E54B64">
        <w:rPr>
          <w:rFonts w:ascii="Times New Roman" w:hAnsi="Times New Roman" w:cs="Times New Roman"/>
        </w:rPr>
        <w:lastRenderedPageBreak/>
        <w:t>Чугин</w:t>
      </w:r>
      <w:proofErr w:type="spellEnd"/>
      <w:r w:rsidRPr="00E54B64">
        <w:rPr>
          <w:rFonts w:ascii="Times New Roman" w:hAnsi="Times New Roman" w:cs="Times New Roman"/>
        </w:rPr>
        <w:t xml:space="preserve">, М. А. Развитие фитнес-индустрии в России на современном этапе / М. А. </w:t>
      </w:r>
      <w:proofErr w:type="spellStart"/>
      <w:r w:rsidRPr="00E54B64">
        <w:rPr>
          <w:rFonts w:ascii="Times New Roman" w:hAnsi="Times New Roman" w:cs="Times New Roman"/>
        </w:rPr>
        <w:t>Чугин</w:t>
      </w:r>
      <w:proofErr w:type="spellEnd"/>
      <w:r w:rsidRPr="00E54B64">
        <w:rPr>
          <w:rFonts w:ascii="Times New Roman" w:hAnsi="Times New Roman" w:cs="Times New Roman"/>
        </w:rPr>
        <w:t>, А. М. Ковалева, С. А. Горохова // Фитнес: теория и практика. – 2024. – № 18. – С. 8-17. – EDN WMAVLW.</w:t>
      </w:r>
    </w:p>
    <w:sectPr w:rsidR="00E54B64" w:rsidRPr="00E54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39E2"/>
    <w:multiLevelType w:val="hybridMultilevel"/>
    <w:tmpl w:val="9F644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A5E3BD1"/>
    <w:multiLevelType w:val="hybridMultilevel"/>
    <w:tmpl w:val="285A6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9570B87"/>
    <w:multiLevelType w:val="hybridMultilevel"/>
    <w:tmpl w:val="CB52C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D113A2"/>
    <w:multiLevelType w:val="multilevel"/>
    <w:tmpl w:val="D4E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708480">
    <w:abstractNumId w:val="2"/>
  </w:num>
  <w:num w:numId="2" w16cid:durableId="1611165782">
    <w:abstractNumId w:val="3"/>
  </w:num>
  <w:num w:numId="3" w16cid:durableId="1104150779">
    <w:abstractNumId w:val="1"/>
  </w:num>
  <w:num w:numId="4" w16cid:durableId="70020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A6"/>
    <w:rsid w:val="00046524"/>
    <w:rsid w:val="00057C8E"/>
    <w:rsid w:val="00076B14"/>
    <w:rsid w:val="00282DA6"/>
    <w:rsid w:val="002C29FE"/>
    <w:rsid w:val="003B7AF8"/>
    <w:rsid w:val="00652229"/>
    <w:rsid w:val="00652411"/>
    <w:rsid w:val="006B6A8F"/>
    <w:rsid w:val="007D734A"/>
    <w:rsid w:val="0080604C"/>
    <w:rsid w:val="008277FD"/>
    <w:rsid w:val="00917074"/>
    <w:rsid w:val="0094104B"/>
    <w:rsid w:val="00A0678C"/>
    <w:rsid w:val="00A2429D"/>
    <w:rsid w:val="00AA43B4"/>
    <w:rsid w:val="00B96596"/>
    <w:rsid w:val="00BC3C42"/>
    <w:rsid w:val="00C76100"/>
    <w:rsid w:val="00E54B64"/>
    <w:rsid w:val="00E80E29"/>
    <w:rsid w:val="00EC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D832"/>
  <w15:chartTrackingRefBased/>
  <w15:docId w15:val="{DABA34A7-C3C5-4B6A-AB06-C1A6036D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DA6"/>
  </w:style>
  <w:style w:type="paragraph" w:styleId="1">
    <w:name w:val="heading 1"/>
    <w:basedOn w:val="a"/>
    <w:next w:val="a"/>
    <w:link w:val="10"/>
    <w:uiPriority w:val="9"/>
    <w:qFormat/>
    <w:rsid w:val="00282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82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82D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82D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82D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82D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2D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2D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2D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D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82D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82D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82D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82D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82D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2DA6"/>
    <w:rPr>
      <w:rFonts w:eastAsiaTheme="majorEastAsia" w:cstheme="majorBidi"/>
      <w:color w:val="595959" w:themeColor="text1" w:themeTint="A6"/>
    </w:rPr>
  </w:style>
  <w:style w:type="character" w:customStyle="1" w:styleId="80">
    <w:name w:val="Заголовок 8 Знак"/>
    <w:basedOn w:val="a0"/>
    <w:link w:val="8"/>
    <w:uiPriority w:val="9"/>
    <w:semiHidden/>
    <w:rsid w:val="00282D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2DA6"/>
    <w:rPr>
      <w:rFonts w:eastAsiaTheme="majorEastAsia" w:cstheme="majorBidi"/>
      <w:color w:val="272727" w:themeColor="text1" w:themeTint="D8"/>
    </w:rPr>
  </w:style>
  <w:style w:type="paragraph" w:styleId="a3">
    <w:name w:val="Title"/>
    <w:basedOn w:val="a"/>
    <w:next w:val="a"/>
    <w:link w:val="a4"/>
    <w:uiPriority w:val="10"/>
    <w:qFormat/>
    <w:rsid w:val="00282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2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D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2D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2DA6"/>
    <w:pPr>
      <w:spacing w:before="160"/>
      <w:jc w:val="center"/>
    </w:pPr>
    <w:rPr>
      <w:i/>
      <w:iCs/>
      <w:color w:val="404040" w:themeColor="text1" w:themeTint="BF"/>
    </w:rPr>
  </w:style>
  <w:style w:type="character" w:customStyle="1" w:styleId="22">
    <w:name w:val="Цитата 2 Знак"/>
    <w:basedOn w:val="a0"/>
    <w:link w:val="21"/>
    <w:uiPriority w:val="29"/>
    <w:rsid w:val="00282DA6"/>
    <w:rPr>
      <w:i/>
      <w:iCs/>
      <w:color w:val="404040" w:themeColor="text1" w:themeTint="BF"/>
    </w:rPr>
  </w:style>
  <w:style w:type="paragraph" w:styleId="a7">
    <w:name w:val="List Paragraph"/>
    <w:basedOn w:val="a"/>
    <w:uiPriority w:val="34"/>
    <w:qFormat/>
    <w:rsid w:val="00282DA6"/>
    <w:pPr>
      <w:ind w:left="720"/>
      <w:contextualSpacing/>
    </w:pPr>
  </w:style>
  <w:style w:type="character" w:styleId="a8">
    <w:name w:val="Intense Emphasis"/>
    <w:basedOn w:val="a0"/>
    <w:uiPriority w:val="21"/>
    <w:qFormat/>
    <w:rsid w:val="00282DA6"/>
    <w:rPr>
      <w:i/>
      <w:iCs/>
      <w:color w:val="0F4761" w:themeColor="accent1" w:themeShade="BF"/>
    </w:rPr>
  </w:style>
  <w:style w:type="paragraph" w:styleId="a9">
    <w:name w:val="Intense Quote"/>
    <w:basedOn w:val="a"/>
    <w:next w:val="a"/>
    <w:link w:val="aa"/>
    <w:uiPriority w:val="30"/>
    <w:qFormat/>
    <w:rsid w:val="00282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82DA6"/>
    <w:rPr>
      <w:i/>
      <w:iCs/>
      <w:color w:val="0F4761" w:themeColor="accent1" w:themeShade="BF"/>
    </w:rPr>
  </w:style>
  <w:style w:type="character" w:styleId="ab">
    <w:name w:val="Intense Reference"/>
    <w:basedOn w:val="a0"/>
    <w:uiPriority w:val="32"/>
    <w:qFormat/>
    <w:rsid w:val="00282DA6"/>
    <w:rPr>
      <w:b/>
      <w:bCs/>
      <w:smallCaps/>
      <w:color w:val="0F4761" w:themeColor="accent1" w:themeShade="BF"/>
      <w:spacing w:val="5"/>
    </w:rPr>
  </w:style>
  <w:style w:type="table" w:styleId="ac">
    <w:name w:val="Table Grid"/>
    <w:basedOn w:val="a1"/>
    <w:uiPriority w:val="39"/>
    <w:rsid w:val="00282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571">
      <w:bodyDiv w:val="1"/>
      <w:marLeft w:val="0"/>
      <w:marRight w:val="0"/>
      <w:marTop w:val="0"/>
      <w:marBottom w:val="0"/>
      <w:divBdr>
        <w:top w:val="none" w:sz="0" w:space="0" w:color="auto"/>
        <w:left w:val="none" w:sz="0" w:space="0" w:color="auto"/>
        <w:bottom w:val="none" w:sz="0" w:space="0" w:color="auto"/>
        <w:right w:val="none" w:sz="0" w:space="0" w:color="auto"/>
      </w:divBdr>
    </w:div>
    <w:div w:id="699087469">
      <w:bodyDiv w:val="1"/>
      <w:marLeft w:val="0"/>
      <w:marRight w:val="0"/>
      <w:marTop w:val="0"/>
      <w:marBottom w:val="0"/>
      <w:divBdr>
        <w:top w:val="none" w:sz="0" w:space="0" w:color="auto"/>
        <w:left w:val="none" w:sz="0" w:space="0" w:color="auto"/>
        <w:bottom w:val="none" w:sz="0" w:space="0" w:color="auto"/>
        <w:right w:val="none" w:sz="0" w:space="0" w:color="auto"/>
      </w:divBdr>
    </w:div>
    <w:div w:id="1707172931">
      <w:bodyDiv w:val="1"/>
      <w:marLeft w:val="0"/>
      <w:marRight w:val="0"/>
      <w:marTop w:val="0"/>
      <w:marBottom w:val="0"/>
      <w:divBdr>
        <w:top w:val="none" w:sz="0" w:space="0" w:color="auto"/>
        <w:left w:val="none" w:sz="0" w:space="0" w:color="auto"/>
        <w:bottom w:val="none" w:sz="0" w:space="0" w:color="auto"/>
        <w:right w:val="none" w:sz="0" w:space="0" w:color="auto"/>
      </w:divBdr>
    </w:div>
    <w:div w:id="178823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chemeClr val="tx1"/>
                </a:solidFill>
                <a:latin typeface="Times New Roman" panose="02020603050405020304" pitchFamily="18" charset="0"/>
                <a:cs typeface="Times New Roman" panose="02020603050405020304" pitchFamily="18" charset="0"/>
              </a:rPr>
              <a:t>Рынок</a:t>
            </a:r>
            <a:r>
              <a:rPr lang="ru-RU" b="1" baseline="0">
                <a:solidFill>
                  <a:schemeClr val="tx1"/>
                </a:solidFill>
                <a:latin typeface="Times New Roman" panose="02020603050405020304" pitchFamily="18" charset="0"/>
                <a:cs typeface="Times New Roman" panose="02020603050405020304" pitchFamily="18" charset="0"/>
              </a:rPr>
              <a:t> фитнес-услуг России, млрд. руб</a:t>
            </a:r>
            <a:r>
              <a:rPr lang="ru-RU" baseline="0"/>
              <a:t>.</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1568746214415505"/>
          <c:y val="0.15361358459308344"/>
          <c:w val="0.85269401738707773"/>
          <c:h val="0.65327393715462523"/>
        </c:manualLayout>
      </c:layout>
      <c:barChart>
        <c:barDir val="bar"/>
        <c:grouping val="clustered"/>
        <c:varyColors val="0"/>
        <c:ser>
          <c:idx val="0"/>
          <c:order val="0"/>
          <c:tx>
            <c:strRef>
              <c:f>Лист1!$B$1</c:f>
              <c:strCache>
                <c:ptCount val="1"/>
                <c:pt idx="0">
                  <c:v>Рынок, млрд. руб.</c:v>
                </c:pt>
              </c:strCache>
            </c:strRef>
          </c:tx>
          <c:spPr>
            <a:solidFill>
              <a:srgbClr val="009900"/>
            </a:solidFill>
            <a:ln>
              <a:noFill/>
            </a:ln>
            <a:effectLst/>
          </c:spPr>
          <c:invertIfNegative val="0"/>
          <c:cat>
            <c:strRef>
              <c:f>Лист1!$A$2:$A$9</c:f>
              <c:strCache>
                <c:ptCount val="7"/>
                <c:pt idx="0">
                  <c:v>2018 г.</c:v>
                </c:pt>
                <c:pt idx="1">
                  <c:v>2019 г.</c:v>
                </c:pt>
                <c:pt idx="2">
                  <c:v>2020 г.</c:v>
                </c:pt>
                <c:pt idx="3">
                  <c:v>2021 г.</c:v>
                </c:pt>
                <c:pt idx="4">
                  <c:v>2022 г.</c:v>
                </c:pt>
                <c:pt idx="5">
                  <c:v>2023 г.</c:v>
                </c:pt>
                <c:pt idx="6">
                  <c:v>2024 г.</c:v>
                </c:pt>
              </c:strCache>
            </c:strRef>
          </c:cat>
          <c:val>
            <c:numRef>
              <c:f>Лист1!$B$2:$B$9</c:f>
              <c:numCache>
                <c:formatCode>General</c:formatCode>
                <c:ptCount val="8"/>
                <c:pt idx="0">
                  <c:v>138.69999999999999</c:v>
                </c:pt>
                <c:pt idx="1">
                  <c:v>155.69999999999999</c:v>
                </c:pt>
                <c:pt idx="2">
                  <c:v>110.7</c:v>
                </c:pt>
                <c:pt idx="3">
                  <c:v>163.19999999999999</c:v>
                </c:pt>
                <c:pt idx="4">
                  <c:v>181.3</c:v>
                </c:pt>
                <c:pt idx="5">
                  <c:v>213.6</c:v>
                </c:pt>
                <c:pt idx="6">
                  <c:v>252.8</c:v>
                </c:pt>
              </c:numCache>
            </c:numRef>
          </c:val>
          <c:extLst>
            <c:ext xmlns:c16="http://schemas.microsoft.com/office/drawing/2014/chart" uri="{C3380CC4-5D6E-409C-BE32-E72D297353CC}">
              <c16:uniqueId val="{00000000-A5A7-4E01-8BFD-0B2787657FCB}"/>
            </c:ext>
          </c:extLst>
        </c:ser>
        <c:dLbls>
          <c:showLegendKey val="0"/>
          <c:showVal val="0"/>
          <c:showCatName val="0"/>
          <c:showSerName val="0"/>
          <c:showPercent val="0"/>
          <c:showBubbleSize val="0"/>
        </c:dLbls>
        <c:gapWidth val="182"/>
        <c:axId val="1963176863"/>
        <c:axId val="1963184063"/>
      </c:barChart>
      <c:catAx>
        <c:axId val="19631768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63184063"/>
        <c:crosses val="autoZero"/>
        <c:auto val="1"/>
        <c:lblAlgn val="ctr"/>
        <c:lblOffset val="100"/>
        <c:noMultiLvlLbl val="0"/>
      </c:catAx>
      <c:valAx>
        <c:axId val="1963184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63176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2918</Words>
  <Characters>16637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Мельникова</dc:creator>
  <cp:keywords/>
  <dc:description/>
  <cp:lastModifiedBy>Дарья Мельникова</cp:lastModifiedBy>
  <cp:revision>14</cp:revision>
  <dcterms:created xsi:type="dcterms:W3CDTF">2025-10-26T22:25:00Z</dcterms:created>
  <dcterms:modified xsi:type="dcterms:W3CDTF">2025-11-29T20:05:00Z</dcterms:modified>
</cp:coreProperties>
</file>