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41" w:rsidRPr="003F22B2" w:rsidRDefault="003F22B2" w:rsidP="003F2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2B2">
        <w:rPr>
          <w:rFonts w:ascii="Times New Roman" w:hAnsi="Times New Roman" w:cs="Times New Roman"/>
          <w:b/>
          <w:sz w:val="28"/>
          <w:szCs w:val="28"/>
        </w:rPr>
        <w:t xml:space="preserve">УДК </w:t>
      </w:r>
      <w:r w:rsidRPr="003F22B2">
        <w:rPr>
          <w:rStyle w:val="a4"/>
          <w:rFonts w:ascii="Times New Roman" w:hAnsi="Times New Roman" w:cs="Times New Roman"/>
          <w:sz w:val="28"/>
          <w:szCs w:val="28"/>
        </w:rPr>
        <w:t>657.3</w:t>
      </w:r>
    </w:p>
    <w:p w:rsidR="00DE6E41" w:rsidRPr="003D192B" w:rsidRDefault="00DE6E41" w:rsidP="00DE6E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92B">
        <w:rPr>
          <w:rFonts w:ascii="Times New Roman" w:hAnsi="Times New Roman" w:cs="Times New Roman"/>
          <w:b/>
          <w:sz w:val="28"/>
          <w:szCs w:val="28"/>
        </w:rPr>
        <w:t>БИЗНЕС РЕШЕНИЯ ПРИ ВЕДЕНИИ БУХГАЛТЕРСКОГО УЧЕТА СПОРТИВНЫХ СОРЕВЕНОВАНИЙ</w:t>
      </w:r>
    </w:p>
    <w:p w:rsidR="003D192B" w:rsidRPr="003D192B" w:rsidRDefault="003D192B" w:rsidP="003D19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D192B">
        <w:rPr>
          <w:rFonts w:ascii="Times New Roman" w:hAnsi="Times New Roman" w:cs="Times New Roman"/>
          <w:i/>
          <w:sz w:val="28"/>
          <w:szCs w:val="28"/>
        </w:rPr>
        <w:t>Водовозава</w:t>
      </w:r>
      <w:proofErr w:type="spellEnd"/>
      <w:r w:rsidRPr="003D192B">
        <w:rPr>
          <w:rFonts w:ascii="Times New Roman" w:hAnsi="Times New Roman" w:cs="Times New Roman"/>
          <w:i/>
          <w:sz w:val="28"/>
          <w:szCs w:val="28"/>
        </w:rPr>
        <w:t xml:space="preserve"> А.С.</w:t>
      </w:r>
    </w:p>
    <w:p w:rsidR="003D192B" w:rsidRDefault="003D192B" w:rsidP="003D19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92B">
        <w:rPr>
          <w:rFonts w:ascii="Times New Roman" w:hAnsi="Times New Roman" w:cs="Times New Roman"/>
          <w:i/>
          <w:sz w:val="28"/>
          <w:szCs w:val="28"/>
        </w:rPr>
        <w:t>ООО «Бизнес решения», Архангельск, Россия</w:t>
      </w:r>
    </w:p>
    <w:p w:rsidR="008F3032" w:rsidRPr="00AE5E8A" w:rsidRDefault="008F3032" w:rsidP="008F3032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E5E8A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8F3032" w:rsidRPr="000B59A4" w:rsidRDefault="008F3032" w:rsidP="008F3032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B59A4">
        <w:rPr>
          <w:rFonts w:ascii="Times New Roman" w:hAnsi="Times New Roman"/>
          <w:b/>
          <w:sz w:val="20"/>
          <w:szCs w:val="20"/>
        </w:rPr>
        <w:t xml:space="preserve">В статье </w:t>
      </w:r>
      <w:r w:rsidRPr="008F3032">
        <w:rPr>
          <w:rFonts w:ascii="Times New Roman" w:hAnsi="Times New Roman"/>
          <w:b/>
          <w:sz w:val="20"/>
          <w:szCs w:val="20"/>
        </w:rPr>
        <w:t>привод</w:t>
      </w:r>
      <w:r>
        <w:rPr>
          <w:rFonts w:ascii="Times New Roman" w:hAnsi="Times New Roman"/>
          <w:b/>
          <w:sz w:val="20"/>
          <w:szCs w:val="20"/>
        </w:rPr>
        <w:t>я</w:t>
      </w:r>
      <w:r w:rsidRPr="008F3032">
        <w:rPr>
          <w:rFonts w:ascii="Times New Roman" w:hAnsi="Times New Roman"/>
          <w:b/>
          <w:sz w:val="20"/>
          <w:szCs w:val="20"/>
        </w:rPr>
        <w:t>тся решения бухгалтерского учета при проведении спортивных соревнований с опорой на методологию учёта, управленческие решения и нормативную базу Российской Федерации. Приводится проектный подход к учёту затрат на спортивные соревнования как инструмент бизнес планирования.</w:t>
      </w:r>
    </w:p>
    <w:p w:rsidR="008F3032" w:rsidRPr="00AE5E8A" w:rsidRDefault="008F3032" w:rsidP="008F3032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E5E8A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8F3032" w:rsidRDefault="008F3032" w:rsidP="008F3032">
      <w:pPr>
        <w:contextualSpacing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AE5E8A">
        <w:rPr>
          <w:rFonts w:ascii="Times New Roman" w:hAnsi="Times New Roman"/>
          <w:bCs/>
          <w:color w:val="000000"/>
          <w:sz w:val="20"/>
          <w:szCs w:val="20"/>
        </w:rPr>
        <w:t xml:space="preserve">Ключевые слова: 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>бухгалтерск</w:t>
      </w:r>
      <w:r>
        <w:rPr>
          <w:rFonts w:ascii="Times New Roman" w:hAnsi="Times New Roman"/>
          <w:bCs/>
          <w:color w:val="000000"/>
          <w:sz w:val="20"/>
          <w:szCs w:val="20"/>
        </w:rPr>
        <w:t>ий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 xml:space="preserve"> учет</w:t>
      </w:r>
      <w:r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 xml:space="preserve"> спортивны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е соревнования, 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>методологи</w:t>
      </w:r>
      <w:r>
        <w:rPr>
          <w:rFonts w:ascii="Times New Roman" w:hAnsi="Times New Roman"/>
          <w:bCs/>
          <w:color w:val="000000"/>
          <w:sz w:val="20"/>
          <w:szCs w:val="20"/>
        </w:rPr>
        <w:t>я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 xml:space="preserve"> учёта, управленческие решения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, нормативная 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>баз</w:t>
      </w:r>
      <w:r>
        <w:rPr>
          <w:rFonts w:ascii="Times New Roman" w:hAnsi="Times New Roman"/>
          <w:bCs/>
          <w:color w:val="000000"/>
          <w:sz w:val="20"/>
          <w:szCs w:val="20"/>
        </w:rPr>
        <w:t>а</w:t>
      </w:r>
      <w:r w:rsidRPr="008F3032">
        <w:rPr>
          <w:rFonts w:ascii="Times New Roman" w:hAnsi="Times New Roman"/>
          <w:bCs/>
          <w:color w:val="000000"/>
          <w:sz w:val="20"/>
          <w:szCs w:val="20"/>
        </w:rPr>
        <w:t xml:space="preserve"> Российской Федерации.</w:t>
      </w:r>
    </w:p>
    <w:p w:rsidR="008F3032" w:rsidRPr="00C77918" w:rsidRDefault="008F3032" w:rsidP="008F3032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F3032" w:rsidRPr="003D192B" w:rsidRDefault="008F3032" w:rsidP="003D19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6E41" w:rsidRDefault="003D192B" w:rsidP="00DE6E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D192B">
        <w:rPr>
          <w:rFonts w:ascii="Times New Roman" w:hAnsi="Times New Roman" w:cs="Times New Roman"/>
          <w:b/>
          <w:sz w:val="28"/>
          <w:szCs w:val="28"/>
          <w:lang w:val="en-US"/>
        </w:rPr>
        <w:t>BUSINESS SOLUTIONS FOR ACCOUNTING FOR SPORTS COMPETITIONS</w:t>
      </w:r>
    </w:p>
    <w:p w:rsidR="003D192B" w:rsidRPr="003D192B" w:rsidRDefault="003D192B" w:rsidP="003D192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Vodovozava</w:t>
      </w:r>
      <w:proofErr w:type="spellEnd"/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A.S.</w:t>
      </w:r>
    </w:p>
    <w:p w:rsidR="003D192B" w:rsidRDefault="003D192B" w:rsidP="003D192B">
      <w:pPr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Business</w:t>
      </w:r>
      <w:r w:rsidRPr="003F22B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Solutions</w:t>
      </w:r>
      <w:r w:rsidRPr="003F22B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LLC</w:t>
      </w:r>
      <w:r w:rsidRPr="003F22B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r w:rsidRPr="003D192B">
        <w:rPr>
          <w:rFonts w:ascii="Times New Roman" w:hAnsi="Times New Roman"/>
          <w:i/>
          <w:sz w:val="24"/>
          <w:szCs w:val="24"/>
          <w:lang w:val="en-US"/>
        </w:rPr>
        <w:t>Arkhangelsk</w:t>
      </w:r>
      <w:r w:rsidRPr="003F22B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3D192B">
        <w:rPr>
          <w:rFonts w:ascii="Times New Roman" w:hAnsi="Times New Roman"/>
          <w:i/>
          <w:sz w:val="24"/>
          <w:szCs w:val="24"/>
          <w:lang w:val="en-US"/>
        </w:rPr>
        <w:t>Russia</w:t>
      </w:r>
    </w:p>
    <w:p w:rsidR="008F3032" w:rsidRPr="008F3032" w:rsidRDefault="008F3032" w:rsidP="008F3032">
      <w:pPr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8F3032">
        <w:rPr>
          <w:rFonts w:ascii="Times New Roman" w:hAnsi="Times New Roman"/>
          <w:i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i/>
          <w:sz w:val="24"/>
          <w:szCs w:val="24"/>
          <w:lang w:val="en-US"/>
        </w:rPr>
        <w:t>_____________________</w:t>
      </w:r>
    </w:p>
    <w:p w:rsidR="008F3032" w:rsidRPr="008F3032" w:rsidRDefault="008F3032" w:rsidP="008F3032">
      <w:pPr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F3032">
        <w:rPr>
          <w:rFonts w:ascii="Times New Roman" w:hAnsi="Times New Roman"/>
          <w:b/>
          <w:sz w:val="24"/>
          <w:szCs w:val="24"/>
          <w:lang w:val="en-US"/>
        </w:rPr>
        <w:t xml:space="preserve">The article presents accounting solutions for sports competitions, drawing on accounting methodology, management decisions, and the regulatory framework of the Russian Federation. A project-based approach to accounting for sports competition costs </w:t>
      </w:r>
      <w:proofErr w:type="gramStart"/>
      <w:r w:rsidRPr="008F3032">
        <w:rPr>
          <w:rFonts w:ascii="Times New Roman" w:hAnsi="Times New Roman"/>
          <w:b/>
          <w:sz w:val="24"/>
          <w:szCs w:val="24"/>
          <w:lang w:val="en-US"/>
        </w:rPr>
        <w:t>is presented</w:t>
      </w:r>
      <w:proofErr w:type="gramEnd"/>
      <w:r w:rsidRPr="008F3032">
        <w:rPr>
          <w:rFonts w:ascii="Times New Roman" w:hAnsi="Times New Roman"/>
          <w:b/>
          <w:sz w:val="24"/>
          <w:szCs w:val="24"/>
          <w:lang w:val="en-US"/>
        </w:rPr>
        <w:t xml:space="preserve"> as a business planning tool.</w:t>
      </w:r>
    </w:p>
    <w:p w:rsidR="008F3032" w:rsidRPr="008F3032" w:rsidRDefault="008F3032" w:rsidP="008F3032">
      <w:pPr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F3032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_____________________________________________________________________________</w:t>
      </w:r>
    </w:p>
    <w:p w:rsidR="008F3032" w:rsidRPr="008F3032" w:rsidRDefault="008F3032" w:rsidP="008F3032">
      <w:pPr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F3032">
        <w:rPr>
          <w:rFonts w:ascii="Times New Roman" w:hAnsi="Times New Roman"/>
          <w:b/>
          <w:sz w:val="24"/>
          <w:szCs w:val="24"/>
          <w:lang w:val="en-US"/>
        </w:rPr>
        <w:t xml:space="preserve">Key words: accounting, sports competitions, accounting methodology, management decisions, </w:t>
      </w:r>
      <w:proofErr w:type="gramStart"/>
      <w:r w:rsidRPr="008F3032">
        <w:rPr>
          <w:rFonts w:ascii="Times New Roman" w:hAnsi="Times New Roman"/>
          <w:b/>
          <w:sz w:val="24"/>
          <w:szCs w:val="24"/>
          <w:lang w:val="en-US"/>
        </w:rPr>
        <w:t>regulatory</w:t>
      </w:r>
      <w:proofErr w:type="gramEnd"/>
      <w:r w:rsidRPr="008F3032">
        <w:rPr>
          <w:rFonts w:ascii="Times New Roman" w:hAnsi="Times New Roman"/>
          <w:b/>
          <w:sz w:val="24"/>
          <w:szCs w:val="24"/>
          <w:lang w:val="en-US"/>
        </w:rPr>
        <w:t xml:space="preserve"> framework of the Russian Federation.</w:t>
      </w:r>
    </w:p>
    <w:p w:rsidR="003D192B" w:rsidRPr="008F3032" w:rsidRDefault="003D192B" w:rsidP="003D19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192B" w:rsidRPr="008F3032" w:rsidRDefault="003D192B" w:rsidP="00DE6E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E6E41" w:rsidRDefault="003D192B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приводится решения бухгалтерского учета при проведении спортивных соревнований </w:t>
      </w:r>
      <w:r w:rsidR="00DE6E41" w:rsidRPr="00DE6E41">
        <w:rPr>
          <w:rFonts w:ascii="Times New Roman" w:hAnsi="Times New Roman" w:cs="Times New Roman"/>
          <w:sz w:val="28"/>
          <w:szCs w:val="28"/>
        </w:rPr>
        <w:t>с опорой на методологию учёта, управленческие решения и нормативную базу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E6E41" w:rsidRPr="00DE6E4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DE6E41" w:rsidRPr="00DE6E41">
        <w:rPr>
          <w:rFonts w:ascii="Times New Roman" w:hAnsi="Times New Roman" w:cs="Times New Roman"/>
          <w:sz w:val="28"/>
          <w:szCs w:val="28"/>
        </w:rPr>
        <w:t>.</w:t>
      </w:r>
    </w:p>
    <w:p w:rsidR="00DE6E41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Проектный подход к учёту затрат на спортивные соревнования как инструмент бизнес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планирования</w:t>
      </w:r>
      <w:r w:rsidR="003D192B">
        <w:rPr>
          <w:rFonts w:ascii="Times New Roman" w:hAnsi="Times New Roman" w:cs="Times New Roman"/>
          <w:sz w:val="28"/>
          <w:szCs w:val="28"/>
        </w:rPr>
        <w:t>.</w:t>
      </w:r>
    </w:p>
    <w:p w:rsidR="003D192B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Проведение спортивных соревнований целесообразно рассматривать как отдельные проекты с собственными бюджетами, сроками и KPI. Это позволяет выделять прямые затраты (аренда площадки, судейство, экипировка, питание участников) и формировать по каждому мероприятию </w:t>
      </w:r>
      <w:r w:rsidRPr="00DE6E41">
        <w:rPr>
          <w:rFonts w:ascii="Times New Roman" w:hAnsi="Times New Roman" w:cs="Times New Roman"/>
          <w:sz w:val="28"/>
          <w:szCs w:val="28"/>
        </w:rPr>
        <w:lastRenderedPageBreak/>
        <w:t>себестоимость. С научной точки зрения такой подход соответствует методологии проектного управления и управленческого учёта: себестоимость мероприятия становится измеримой величиной, а отклонения фактических затрат от плановых — объектом анализа для принятия управленческих решений. В бухгалтерском учёте это реализуется через аналитику по кодам мероприятий (КВР/КЦСР для бюджетных учреждений либо внутренние коды проектов для коммерческих структур) и раздельный учёт прямых и косвенных расходов.</w:t>
      </w:r>
      <w:r w:rsidR="003D192B">
        <w:rPr>
          <w:rFonts w:ascii="Times New Roman" w:hAnsi="Times New Roman" w:cs="Times New Roman"/>
          <w:sz w:val="28"/>
          <w:szCs w:val="28"/>
        </w:rPr>
        <w:t xml:space="preserve"> </w:t>
      </w:r>
      <w:r w:rsidRPr="00DE6E41">
        <w:rPr>
          <w:rFonts w:ascii="Times New Roman" w:hAnsi="Times New Roman" w:cs="Times New Roman"/>
          <w:sz w:val="28"/>
          <w:szCs w:val="28"/>
        </w:rPr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ПБУ 10/99 «Расходы организации», принципы управленческого учёта, проектный подход.</w:t>
      </w:r>
    </w:p>
    <w:p w:rsidR="003D192B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Методики распределения косвенных расходов для корректной оценки рентабельности спортивных мероприятий</w:t>
      </w:r>
      <w:r w:rsidR="003D192B">
        <w:rPr>
          <w:rFonts w:ascii="Times New Roman" w:hAnsi="Times New Roman" w:cs="Times New Roman"/>
          <w:sz w:val="28"/>
          <w:szCs w:val="28"/>
        </w:rPr>
        <w:t xml:space="preserve"> предполагает след</w:t>
      </w:r>
      <w:r w:rsidR="00FD46D3">
        <w:rPr>
          <w:rFonts w:ascii="Times New Roman" w:hAnsi="Times New Roman" w:cs="Times New Roman"/>
          <w:sz w:val="28"/>
          <w:szCs w:val="28"/>
        </w:rPr>
        <w:t>ующие виды дея</w:t>
      </w:r>
      <w:r w:rsidR="003D192B">
        <w:rPr>
          <w:rFonts w:ascii="Times New Roman" w:hAnsi="Times New Roman" w:cs="Times New Roman"/>
          <w:sz w:val="28"/>
          <w:szCs w:val="28"/>
        </w:rPr>
        <w:t>тельности.</w:t>
      </w:r>
    </w:p>
    <w:p w:rsidR="003D192B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Спортивные организации часто ведут несколько видов деятельности одновременно (соревнования, тренировки, коммерческие услуги), из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 xml:space="preserve">за чего общехозяйственные расходы (коммунальные платежи, охрана, административные расходы) нельзя напрямую отнести к конкретному соревнованию. </w:t>
      </w:r>
      <w:r w:rsidR="003D192B" w:rsidRPr="00DE6E41">
        <w:rPr>
          <w:rFonts w:ascii="Times New Roman" w:hAnsi="Times New Roman" w:cs="Times New Roman"/>
          <w:sz w:val="28"/>
          <w:szCs w:val="28"/>
        </w:rPr>
        <w:t>Для бизнеса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решений важно формализовать базу распределения: например, пропорционально часам использования объекта, количеству участников, площади задействованных помещений или трудозатратам персонала. Такой подход повышает достоверность оценки себестоимости и позволяет сравнивать рентабельность разных мероприятий.</w:t>
      </w:r>
      <w:r w:rsidR="003D1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С научной позиции это относится к проблематике калькулирования себестоимости в многопрофильных организациях и выбору экономически обоснованных баз распределения. В статье можно дополнительно рассмотреть сравнительный анализ нескольких баз распределения и их влияние на управленческие выводы.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учётная политика организации, ПБУ 1/2008 «Учётная политика», принципы рациональности и достоверности учёта.</w:t>
      </w:r>
      <w:r w:rsidR="007B3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lastRenderedPageBreak/>
        <w:t>Нормативное планирование и контроль отклонений как основа предсказуемости бюджета соревнований</w:t>
      </w:r>
      <w:r w:rsidR="007B3DFF">
        <w:rPr>
          <w:rFonts w:ascii="Times New Roman" w:hAnsi="Times New Roman" w:cs="Times New Roman"/>
          <w:sz w:val="28"/>
          <w:szCs w:val="28"/>
        </w:rPr>
        <w:t xml:space="preserve"> заключается в следующих </w:t>
      </w:r>
      <w:r w:rsidR="00FD46D3">
        <w:rPr>
          <w:rFonts w:ascii="Times New Roman" w:hAnsi="Times New Roman" w:cs="Times New Roman"/>
          <w:sz w:val="28"/>
          <w:szCs w:val="28"/>
        </w:rPr>
        <w:t>положениях</w:t>
      </w:r>
      <w:r w:rsidR="007B3DFF">
        <w:rPr>
          <w:rFonts w:ascii="Times New Roman" w:hAnsi="Times New Roman" w:cs="Times New Roman"/>
          <w:sz w:val="28"/>
          <w:szCs w:val="28"/>
        </w:rPr>
        <w:t>:</w:t>
      </w:r>
    </w:p>
    <w:p w:rsidR="007B3DFF" w:rsidRPr="007B3DFF" w:rsidRDefault="007B3DFF" w:rsidP="007B3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DF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E41" w:rsidRPr="007B3DFF">
        <w:rPr>
          <w:rFonts w:ascii="Times New Roman" w:hAnsi="Times New Roman" w:cs="Times New Roman"/>
          <w:sz w:val="28"/>
          <w:szCs w:val="28"/>
        </w:rPr>
        <w:t>Для спортивных мероприятий целесообразно использовать нормативный подход: утверждённые нормативы на типовые статьи расходов (питание на 1 участника, стоимость судейства за час, транспорт, проживание) позволяют стандартизировать сметы и снизить риски перерасхода. Отклонения фактических значений от нормативов становятся ключевым индикатором для анализа: перерасход по питанию может сигнализировать о неверной оценке количества участников, по аренде — о неоптимальном выборе площадки.</w:t>
      </w:r>
    </w:p>
    <w:p w:rsidR="007B3DFF" w:rsidRDefault="007B3DFF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E6E41" w:rsidRPr="00DE6E41">
        <w:rPr>
          <w:rFonts w:ascii="Times New Roman" w:hAnsi="Times New Roman" w:cs="Times New Roman"/>
          <w:sz w:val="28"/>
          <w:szCs w:val="28"/>
        </w:rPr>
        <w:t xml:space="preserve">В научном контексте это связано с концепцией </w:t>
      </w:r>
      <w:proofErr w:type="spellStart"/>
      <w:r w:rsidR="00DE6E41" w:rsidRPr="00DE6E41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="00DE6E41" w:rsidRPr="00DE6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E41" w:rsidRPr="00DE6E41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DE6E41" w:rsidRPr="00DE6E4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E6E41" w:rsidRPr="00DE6E41">
        <w:rPr>
          <w:rFonts w:ascii="Times New Roman" w:hAnsi="Times New Roman" w:cs="Times New Roman"/>
          <w:sz w:val="28"/>
          <w:szCs w:val="28"/>
        </w:rPr>
        <w:t>контроллинга</w:t>
      </w:r>
      <w:proofErr w:type="spellEnd"/>
      <w:r w:rsidR="00DE6E41" w:rsidRPr="00DE6E41">
        <w:rPr>
          <w:rFonts w:ascii="Times New Roman" w:hAnsi="Times New Roman" w:cs="Times New Roman"/>
          <w:sz w:val="28"/>
          <w:szCs w:val="28"/>
        </w:rPr>
        <w:t>: нормативы выступают как контрольные точки, а анализ отклонений — как инструмент непрерывного улучшения планирования.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управленческий учёт, система нормативного учёта затрат, внутренний контроль.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Дифференциация учёта спонсорских поступлений: целевое финансирование </w:t>
      </w:r>
      <w:r w:rsidR="00FD46D3" w:rsidRPr="00DE6E41">
        <w:rPr>
          <w:rFonts w:ascii="Times New Roman" w:hAnsi="Times New Roman" w:cs="Times New Roman"/>
          <w:sz w:val="28"/>
          <w:szCs w:val="28"/>
        </w:rPr>
        <w:t>VS</w:t>
      </w:r>
      <w:r w:rsidRPr="00DE6E41">
        <w:rPr>
          <w:rFonts w:ascii="Times New Roman" w:hAnsi="Times New Roman" w:cs="Times New Roman"/>
          <w:sz w:val="28"/>
          <w:szCs w:val="28"/>
        </w:rPr>
        <w:t xml:space="preserve"> выручка за рекламные услуги</w:t>
      </w:r>
      <w:r w:rsidR="007B3DF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E6E41" w:rsidRPr="00DE6E41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Спонсорские взносы могут учитываться по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разному в зависимости от экономического содержания договора: как целевые средства (счёт 86) либо как выручка (счёт 90) при наличии встречного предоставления (рекламы, упоминания бренда и т. п.). С научной точки зрения корректная классификация важна для достоверности финансовых результатов и налоговой нагрузки. Неверная трактовка может исказить показатели рентабельности и привести к претензиям со стороны контролирующих органов.</w:t>
      </w:r>
      <w:r w:rsidR="007B3DFF">
        <w:rPr>
          <w:rFonts w:ascii="Times New Roman" w:hAnsi="Times New Roman" w:cs="Times New Roman"/>
          <w:sz w:val="28"/>
          <w:szCs w:val="28"/>
        </w:rPr>
        <w:t xml:space="preserve"> Важная</w:t>
      </w:r>
      <w:r w:rsidRPr="00DE6E41">
        <w:rPr>
          <w:rFonts w:ascii="Times New Roman" w:hAnsi="Times New Roman" w:cs="Times New Roman"/>
          <w:sz w:val="28"/>
          <w:szCs w:val="28"/>
        </w:rPr>
        <w:t xml:space="preserve"> значим</w:t>
      </w:r>
      <w:r w:rsidR="007B3DFF">
        <w:rPr>
          <w:rFonts w:ascii="Times New Roman" w:hAnsi="Times New Roman" w:cs="Times New Roman"/>
          <w:sz w:val="28"/>
          <w:szCs w:val="28"/>
        </w:rPr>
        <w:t>ость заключается в</w:t>
      </w:r>
      <w:r w:rsidRPr="00DE6E41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7B3DFF">
        <w:rPr>
          <w:rFonts w:ascii="Times New Roman" w:hAnsi="Times New Roman" w:cs="Times New Roman"/>
          <w:sz w:val="28"/>
          <w:szCs w:val="28"/>
        </w:rPr>
        <w:t>е</w:t>
      </w:r>
      <w:r w:rsidRPr="00DE6E41">
        <w:rPr>
          <w:rFonts w:ascii="Times New Roman" w:hAnsi="Times New Roman" w:cs="Times New Roman"/>
          <w:sz w:val="28"/>
          <w:szCs w:val="28"/>
        </w:rPr>
        <w:t xml:space="preserve"> договоров и экономической сущности операций: типовые формулировки, </w:t>
      </w:r>
      <w:r w:rsidR="007B3DFF">
        <w:rPr>
          <w:rFonts w:ascii="Times New Roman" w:hAnsi="Times New Roman" w:cs="Times New Roman"/>
          <w:sz w:val="28"/>
          <w:szCs w:val="28"/>
        </w:rPr>
        <w:t>должны быть корректными, а</w:t>
      </w:r>
      <w:r w:rsidRPr="00DE6E41">
        <w:rPr>
          <w:rFonts w:ascii="Times New Roman" w:hAnsi="Times New Roman" w:cs="Times New Roman"/>
          <w:sz w:val="28"/>
          <w:szCs w:val="28"/>
        </w:rPr>
        <w:t xml:space="preserve"> поступления к целевым или к выручке, и показать, как это влияет на отчётность и управленческие решения.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lastRenderedPageBreak/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ПБУ 9/99 «Доходы организации», ПБУ 13/2000 «Учёт государственной помощи» (по аналогии с целевыми поступлениями), учётная политика.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Интеграция финансового и управленческого учёта для оценки </w:t>
      </w:r>
      <w:proofErr w:type="spellStart"/>
      <w:r w:rsidRPr="00DE6E41">
        <w:rPr>
          <w:rFonts w:ascii="Times New Roman" w:hAnsi="Times New Roman" w:cs="Times New Roman"/>
          <w:sz w:val="28"/>
          <w:szCs w:val="28"/>
        </w:rPr>
        <w:t>маржинальности</w:t>
      </w:r>
      <w:proofErr w:type="spellEnd"/>
      <w:r w:rsidRPr="00DE6E41">
        <w:rPr>
          <w:rFonts w:ascii="Times New Roman" w:hAnsi="Times New Roman" w:cs="Times New Roman"/>
          <w:sz w:val="28"/>
          <w:szCs w:val="28"/>
        </w:rPr>
        <w:t xml:space="preserve"> и точки безубыточности мероприятий</w:t>
      </w:r>
      <w:r w:rsidR="007B3D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Финансовый учёт фиксирует фактические затраты и обязательства в соответствии с законодательством, а управленческий — позволяет моделировать сценарии и оценивать </w:t>
      </w:r>
      <w:proofErr w:type="spellStart"/>
      <w:r w:rsidRPr="00DE6E41">
        <w:rPr>
          <w:rFonts w:ascii="Times New Roman" w:hAnsi="Times New Roman" w:cs="Times New Roman"/>
          <w:sz w:val="28"/>
          <w:szCs w:val="28"/>
        </w:rPr>
        <w:t>маржинальность</w:t>
      </w:r>
      <w:proofErr w:type="spellEnd"/>
      <w:r w:rsidRPr="00DE6E41">
        <w:rPr>
          <w:rFonts w:ascii="Times New Roman" w:hAnsi="Times New Roman" w:cs="Times New Roman"/>
          <w:sz w:val="28"/>
          <w:szCs w:val="28"/>
        </w:rPr>
        <w:t>. Для соревнований можно рассчитывать точку безубыточности: минимальный порог участников или минимальный размер взноса, при котором мероприятие не приносит убытка. Это даёт возможность принимать решения о целесообразности проведения, изменении формата или ценообразовании.</w:t>
      </w:r>
      <w:r w:rsidR="007B3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С научной точки зрения это относится к методам управленческого анализа (CVP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анализ, маржинальный доход) и поддержке решений в условиях неопределённости.</w:t>
      </w:r>
      <w:r w:rsidR="007B3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принципы управленческого учёта, методы экономического анализа.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 Автоматизация и сквозная аналитика как фактор снижения рисков и повышения прозрачности</w:t>
      </w:r>
      <w:r w:rsidR="007B3DFF">
        <w:rPr>
          <w:rFonts w:ascii="Times New Roman" w:hAnsi="Times New Roman" w:cs="Times New Roman"/>
          <w:sz w:val="28"/>
          <w:szCs w:val="28"/>
        </w:rPr>
        <w:t>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Ведение реестров мероприятий, договоров, участников и затрат в единой информационной среде (или в интегрированных модулях учётной системы) позволяет автоматически формировать сметы, акты, отчёты и оперативно выявлять отклонения. С научной позиции это соответствует концепции бережливого учёта и цифровизации бизнес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процессов: снижается доля ручного труда, минимизируются ошибки, повышается прозрачность для внутренних и внешних пользователей отчётности.</w:t>
      </w:r>
      <w:r w:rsidR="007B3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В статье можно рассмотреть примеры типовых справочников и аналитик (мероприятие, вид спорта, возрастная группа, источник финансирования), а также связь учётной системы с управленческой отчётностью.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lastRenderedPageBreak/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требования к достоверности и своевременности учёта (ФЗ 402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ФЗ «О бухгалтерском учёте»), принципы внутреннего контроля.</w:t>
      </w:r>
      <w:r w:rsidR="007B3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Влияние организационно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правовой формы и режима налогообложения на выбор учётных решений</w:t>
      </w:r>
      <w:r w:rsidR="007B3DFF">
        <w:rPr>
          <w:rFonts w:ascii="Times New Roman" w:hAnsi="Times New Roman" w:cs="Times New Roman"/>
          <w:sz w:val="28"/>
          <w:szCs w:val="28"/>
        </w:rPr>
        <w:t>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 xml:space="preserve">Бюджетные и автономные учреждения, некоммерческие организации и коммерческие компании имеют разные режимы учёта и отчётности, а также разные возможности по привлечению доходов. Например, НКО обязаны формировать отчёт о целевом использовании средств, а коммерческие структуры ориентируются на прибыль. </w:t>
      </w:r>
    </w:p>
    <w:p w:rsidR="007B3DFF" w:rsidRDefault="007B3DFF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="00DE6E41" w:rsidRPr="00DE6E41">
        <w:rPr>
          <w:rFonts w:ascii="Times New Roman" w:hAnsi="Times New Roman" w:cs="Times New Roman"/>
          <w:sz w:val="28"/>
          <w:szCs w:val="28"/>
        </w:rPr>
        <w:t xml:space="preserve"> научной точки зрения учётная политика должна быть согласована с организационно</w:t>
      </w:r>
      <w:r w:rsidR="00DE6E41" w:rsidRPr="00DE6E41">
        <w:rPr>
          <w:rFonts w:ascii="Times New Roman" w:hAnsi="Times New Roman" w:cs="Times New Roman"/>
          <w:sz w:val="28"/>
          <w:szCs w:val="28"/>
        </w:rPr>
        <w:noBreakHyphen/>
        <w:t>правовой формой и стратегией развития, чтобы одновременно обеспечивать соответствие нормативным требованиям и поддерживать управленческую гибкость.</w:t>
      </w:r>
    </w:p>
    <w:p w:rsidR="007B3DFF" w:rsidRDefault="00DE6E41" w:rsidP="00D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41">
        <w:rPr>
          <w:rFonts w:ascii="Times New Roman" w:hAnsi="Times New Roman" w:cs="Times New Roman"/>
          <w:sz w:val="28"/>
          <w:szCs w:val="28"/>
        </w:rPr>
        <w:t>Нормативно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методологическая опора: ФЗ 402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ФЗ, ФЗ 7</w:t>
      </w:r>
      <w:r w:rsidRPr="00DE6E41">
        <w:rPr>
          <w:rFonts w:ascii="Times New Roman" w:hAnsi="Times New Roman" w:cs="Times New Roman"/>
          <w:sz w:val="28"/>
          <w:szCs w:val="28"/>
        </w:rPr>
        <w:noBreakHyphen/>
        <w:t>ФЗ «О некоммерческих организациях», учётная политика, налоговое законодательство.</w:t>
      </w:r>
    </w:p>
    <w:p w:rsidR="008F3032" w:rsidRDefault="008F3032" w:rsidP="008F30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03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8F3032" w:rsidRDefault="00FD1AF3" w:rsidP="008F30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F3032" w:rsidRPr="008F3032">
        <w:rPr>
          <w:rFonts w:ascii="Times New Roman" w:hAnsi="Times New Roman" w:cs="Times New Roman"/>
          <w:sz w:val="28"/>
          <w:szCs w:val="28"/>
        </w:rPr>
        <w:t>Баханькова</w:t>
      </w:r>
      <w:proofErr w:type="spellEnd"/>
      <w:r w:rsidR="008F3032" w:rsidRPr="008F3032">
        <w:rPr>
          <w:rFonts w:ascii="Times New Roman" w:hAnsi="Times New Roman" w:cs="Times New Roman"/>
          <w:sz w:val="28"/>
          <w:szCs w:val="28"/>
        </w:rPr>
        <w:t xml:space="preserve"> Е. Р. Некоммерческие организации: финансовое управление, финансовое планирование, составление бюджета, анализ и контроль деятельности. — М.: Книга и бизнес, 2011.</w:t>
      </w:r>
    </w:p>
    <w:p w:rsidR="008F3032" w:rsidRDefault="00FD1AF3" w:rsidP="008F30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3032" w:rsidRPr="008F3032">
        <w:rPr>
          <w:rFonts w:ascii="Times New Roman" w:hAnsi="Times New Roman" w:cs="Times New Roman"/>
          <w:sz w:val="28"/>
          <w:szCs w:val="28"/>
        </w:rPr>
        <w:t>Касьянова Г. Ю. Учетная политика: бухгалтерская и налоговая. (</w:t>
      </w:r>
      <w:r>
        <w:rPr>
          <w:rFonts w:ascii="Times New Roman" w:hAnsi="Times New Roman" w:cs="Times New Roman"/>
          <w:sz w:val="28"/>
          <w:szCs w:val="28"/>
        </w:rPr>
        <w:t>Актуальное издание). — М.: АБАК, 2023.</w:t>
      </w:r>
    </w:p>
    <w:sectPr w:rsidR="008F3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A562A"/>
    <w:multiLevelType w:val="hybridMultilevel"/>
    <w:tmpl w:val="AE4E69AC"/>
    <w:lvl w:ilvl="0" w:tplc="5E542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41"/>
    <w:rsid w:val="003D192B"/>
    <w:rsid w:val="003F22B2"/>
    <w:rsid w:val="007B3DFF"/>
    <w:rsid w:val="00836108"/>
    <w:rsid w:val="008F3032"/>
    <w:rsid w:val="00DE6E41"/>
    <w:rsid w:val="00E73B42"/>
    <w:rsid w:val="00EA5379"/>
    <w:rsid w:val="00FD1AF3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1038"/>
  <w15:chartTrackingRefBased/>
  <w15:docId w15:val="{779F47C0-91A4-43DC-964C-DEF4D844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DE6E41"/>
  </w:style>
  <w:style w:type="paragraph" w:styleId="a3">
    <w:name w:val="List Paragraph"/>
    <w:basedOn w:val="a"/>
    <w:uiPriority w:val="34"/>
    <w:qFormat/>
    <w:rsid w:val="007B3DFF"/>
    <w:pPr>
      <w:ind w:left="720"/>
      <w:contextualSpacing/>
    </w:pPr>
  </w:style>
  <w:style w:type="character" w:styleId="a4">
    <w:name w:val="Strong"/>
    <w:basedOn w:val="a0"/>
    <w:uiPriority w:val="22"/>
    <w:qFormat/>
    <w:rsid w:val="003F2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Корельская Ирина Евгеньевна</dc:creator>
  <cp:keywords/>
  <dc:description/>
  <cp:lastModifiedBy>Корельская Ирина Евгеньевна</cp:lastModifiedBy>
  <cp:revision>4</cp:revision>
  <dcterms:created xsi:type="dcterms:W3CDTF">2026-08-03T08:24:00Z</dcterms:created>
  <dcterms:modified xsi:type="dcterms:W3CDTF">2026-08-03T09:01:00Z</dcterms:modified>
</cp:coreProperties>
</file>