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DD" w:rsidRPr="00294235" w:rsidRDefault="00755CDD" w:rsidP="0021054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120371653"/>
      <w:bookmarkStart w:id="1" w:name="_GoBack"/>
      <w:bookmarkEnd w:id="0"/>
      <w:bookmarkEnd w:id="1"/>
      <w:r w:rsidRPr="00294235">
        <w:rPr>
          <w:rFonts w:ascii="Times New Roman" w:hAnsi="Times New Roman"/>
          <w:b/>
          <w:color w:val="000000" w:themeColor="text1"/>
          <w:sz w:val="24"/>
          <w:szCs w:val="24"/>
        </w:rPr>
        <w:t>УДК 656.11</w:t>
      </w:r>
    </w:p>
    <w:p w:rsidR="00755CDD" w:rsidRPr="00294235" w:rsidRDefault="00755CDD" w:rsidP="002105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55CDD" w:rsidRPr="00294235" w:rsidRDefault="00755CDD" w:rsidP="002105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6"/>
        </w:rPr>
      </w:pPr>
      <w:r w:rsidRPr="00294235">
        <w:rPr>
          <w:rFonts w:ascii="Times New Roman" w:hAnsi="Times New Roman"/>
          <w:b/>
          <w:color w:val="000000" w:themeColor="text1"/>
          <w:sz w:val="24"/>
          <w:szCs w:val="26"/>
        </w:rPr>
        <w:t>ОПРЕДЕЛЕНИЕ ОСНОВНЫХ ПОКАЗАТЕЛЕЙ ЭФФЕКТИВНОСТИ ИНВЕСТИЦИОННОГО ПРОЕКТА ТРАНСПОРТНОГО СООРУЖЕНИЯ</w:t>
      </w:r>
    </w:p>
    <w:p w:rsidR="00755CDD" w:rsidRPr="00294235" w:rsidRDefault="00755CDD" w:rsidP="002105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x-none" w:eastAsia="ru-RU"/>
        </w:rPr>
      </w:pPr>
    </w:p>
    <w:p w:rsidR="00755CDD" w:rsidRPr="00294235" w:rsidRDefault="00210540" w:rsidP="002105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42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А.В. </w:t>
      </w:r>
      <w:r w:rsidR="00755CDD" w:rsidRPr="00294235">
        <w:rPr>
          <w:rFonts w:ascii="Times New Roman" w:hAnsi="Times New Roman"/>
          <w:b/>
          <w:color w:val="000000" w:themeColor="text1"/>
          <w:sz w:val="24"/>
          <w:szCs w:val="24"/>
        </w:rPr>
        <w:t>Панкратова,</w:t>
      </w:r>
      <w:r w:rsidRPr="002942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А.Д.</w:t>
      </w:r>
      <w:r w:rsidR="00755CDD" w:rsidRPr="002942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Ковалев, </w:t>
      </w:r>
      <w:r w:rsidRPr="00294235">
        <w:rPr>
          <w:rFonts w:ascii="Times New Roman" w:hAnsi="Times New Roman"/>
          <w:b/>
          <w:color w:val="000000" w:themeColor="text1"/>
          <w:sz w:val="24"/>
          <w:szCs w:val="28"/>
        </w:rPr>
        <w:t>Р.Р. Алекян</w:t>
      </w:r>
    </w:p>
    <w:p w:rsidR="00755CDD" w:rsidRPr="00294235" w:rsidRDefault="00755CDD" w:rsidP="00210540">
      <w:pPr>
        <w:pStyle w:val="a3"/>
        <w:ind w:firstLine="0"/>
        <w:jc w:val="center"/>
        <w:rPr>
          <w:bCs/>
          <w:i/>
          <w:color w:val="000000" w:themeColor="text1"/>
          <w:sz w:val="24"/>
        </w:rPr>
      </w:pPr>
      <w:r w:rsidRPr="00294235">
        <w:rPr>
          <w:bCs/>
          <w:i/>
          <w:color w:val="000000" w:themeColor="text1"/>
          <w:sz w:val="24"/>
        </w:rPr>
        <w:t>Саратовский государственный технический</w:t>
      </w:r>
    </w:p>
    <w:p w:rsidR="00755CDD" w:rsidRPr="00294235" w:rsidRDefault="00755CDD" w:rsidP="00210540">
      <w:pPr>
        <w:pStyle w:val="a3"/>
        <w:ind w:firstLine="0"/>
        <w:jc w:val="center"/>
        <w:rPr>
          <w:bCs/>
          <w:i/>
          <w:color w:val="000000" w:themeColor="text1"/>
          <w:sz w:val="24"/>
          <w:vertAlign w:val="superscript"/>
        </w:rPr>
      </w:pPr>
      <w:r w:rsidRPr="00294235">
        <w:rPr>
          <w:bCs/>
          <w:i/>
          <w:color w:val="000000" w:themeColor="text1"/>
          <w:sz w:val="24"/>
        </w:rPr>
        <w:t>университет имени Гагарина Ю.А.</w:t>
      </w:r>
    </w:p>
    <w:p w:rsidR="00B52980" w:rsidRPr="00294235" w:rsidRDefault="00B52980" w:rsidP="0021054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Cs w:val="20"/>
          <w:lang w:eastAsia="ru-RU"/>
        </w:rPr>
      </w:pPr>
      <w:r w:rsidRPr="00294235">
        <w:rPr>
          <w:rFonts w:ascii="Times New Roman" w:eastAsia="Times New Roman" w:hAnsi="Times New Roman"/>
          <w:b/>
          <w:i/>
          <w:color w:val="000000" w:themeColor="text1"/>
          <w:szCs w:val="20"/>
          <w:lang w:eastAsia="ru-RU"/>
        </w:rPr>
        <w:t>Аннотация.</w:t>
      </w:r>
      <w:r w:rsidRPr="00294235">
        <w:rPr>
          <w:rFonts w:ascii="Times New Roman" w:eastAsia="Times New Roman" w:hAnsi="Times New Roman"/>
          <w:i/>
          <w:color w:val="000000" w:themeColor="text1"/>
          <w:szCs w:val="20"/>
          <w:lang w:eastAsia="ru-RU"/>
        </w:rPr>
        <w:t xml:space="preserve"> В работе определяют основные показатели эффективности инвестиционного проекта: </w:t>
      </w:r>
      <w:r w:rsidRPr="00294235">
        <w:rPr>
          <w:rFonts w:ascii="Times New Roman" w:hAnsi="Times New Roman"/>
          <w:i/>
          <w:color w:val="000000" w:themeColor="text1"/>
          <w:szCs w:val="20"/>
        </w:rPr>
        <w:t xml:space="preserve">чистая приведенная ценность проекта и внутренняя норма рентабельности. Применив к данным показателям вероятностную модель, основанную на теории риска, можно установить </w:t>
      </w:r>
      <w:r w:rsidRPr="00294235">
        <w:rPr>
          <w:rFonts w:ascii="Times New Roman" w:eastAsia="Times New Roman" w:hAnsi="Times New Roman"/>
          <w:i/>
          <w:color w:val="000000" w:themeColor="text1"/>
          <w:szCs w:val="20"/>
          <w:lang w:eastAsia="ru-RU"/>
        </w:rPr>
        <w:t>риск и надежность данного проекта.</w:t>
      </w: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Cs w:val="20"/>
          <w:lang w:eastAsia="ru-RU"/>
        </w:rPr>
      </w:pPr>
      <w:r w:rsidRPr="00294235">
        <w:rPr>
          <w:rFonts w:ascii="Times New Roman" w:eastAsia="Times New Roman" w:hAnsi="Times New Roman"/>
          <w:b/>
          <w:i/>
          <w:color w:val="000000" w:themeColor="text1"/>
          <w:szCs w:val="20"/>
          <w:lang w:eastAsia="ru-RU"/>
        </w:rPr>
        <w:t>Ключевые слова:</w:t>
      </w:r>
      <w:r w:rsidRPr="00294235">
        <w:rPr>
          <w:rFonts w:ascii="Times New Roman" w:eastAsia="Times New Roman" w:hAnsi="Times New Roman"/>
          <w:i/>
          <w:color w:val="000000" w:themeColor="text1"/>
          <w:szCs w:val="20"/>
          <w:lang w:eastAsia="ru-RU"/>
        </w:rPr>
        <w:t xml:space="preserve"> </w:t>
      </w:r>
      <w:r w:rsidRPr="00294235">
        <w:rPr>
          <w:rFonts w:ascii="Times New Roman" w:hAnsi="Times New Roman"/>
          <w:i/>
          <w:color w:val="000000" w:themeColor="text1"/>
          <w:szCs w:val="20"/>
        </w:rPr>
        <w:t>инвестиционный проект, чистая приведенная ценность проекта, внутренняя норма рентабельности, риск, надежность</w:t>
      </w:r>
    </w:p>
    <w:p w:rsidR="00755CDD" w:rsidRPr="00294235" w:rsidRDefault="00755CDD" w:rsidP="002105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29423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" w:eastAsia="ru-RU"/>
        </w:rPr>
        <w:t xml:space="preserve">DETERMINING THE MAIN EFFICIENCY INDICATORS </w:t>
      </w:r>
      <w:r w:rsidR="00210540" w:rsidRPr="0029423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br/>
      </w:r>
      <w:r w:rsidRPr="00294235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" w:eastAsia="ru-RU"/>
        </w:rPr>
        <w:t>OF AN INVESTMENT PROJECT OF A TRANSPORT FACILITY</w:t>
      </w:r>
    </w:p>
    <w:p w:rsidR="00755CDD" w:rsidRPr="00294235" w:rsidRDefault="00755CDD" w:rsidP="002105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4"/>
          <w:lang w:val="en-US" w:eastAsia="ru-RU"/>
        </w:rPr>
      </w:pPr>
    </w:p>
    <w:p w:rsidR="00755CDD" w:rsidRPr="00294235" w:rsidRDefault="00210540" w:rsidP="00210540">
      <w:pPr>
        <w:pStyle w:val="a3"/>
        <w:ind w:firstLine="0"/>
        <w:jc w:val="center"/>
        <w:rPr>
          <w:b/>
          <w:color w:val="000000" w:themeColor="text1"/>
          <w:sz w:val="24"/>
          <w:lang w:val="en-US"/>
        </w:rPr>
      </w:pPr>
      <w:r w:rsidRPr="00294235">
        <w:rPr>
          <w:b/>
          <w:color w:val="000000" w:themeColor="text1"/>
          <w:sz w:val="24"/>
          <w:lang w:val="en-US"/>
        </w:rPr>
        <w:t xml:space="preserve">A.V. </w:t>
      </w:r>
      <w:r w:rsidR="00755CDD" w:rsidRPr="00294235">
        <w:rPr>
          <w:b/>
          <w:color w:val="000000" w:themeColor="text1"/>
          <w:sz w:val="24"/>
          <w:lang w:val="en-US"/>
        </w:rPr>
        <w:t xml:space="preserve">Pankratova, </w:t>
      </w:r>
      <w:r w:rsidRPr="00294235">
        <w:rPr>
          <w:b/>
          <w:color w:val="000000" w:themeColor="text1"/>
          <w:sz w:val="24"/>
          <w:lang w:val="en"/>
        </w:rPr>
        <w:t>A.D.</w:t>
      </w:r>
      <w:r w:rsidRPr="00294235">
        <w:rPr>
          <w:b/>
          <w:color w:val="000000" w:themeColor="text1"/>
          <w:sz w:val="24"/>
          <w:lang w:val="en-US"/>
        </w:rPr>
        <w:t xml:space="preserve"> </w:t>
      </w:r>
      <w:r w:rsidR="00755CDD" w:rsidRPr="00294235">
        <w:rPr>
          <w:b/>
          <w:color w:val="000000" w:themeColor="text1"/>
          <w:sz w:val="24"/>
          <w:lang w:val="en"/>
        </w:rPr>
        <w:t>Kovalev</w:t>
      </w:r>
      <w:r w:rsidR="00755CDD" w:rsidRPr="00294235">
        <w:rPr>
          <w:b/>
          <w:color w:val="000000" w:themeColor="text1"/>
          <w:sz w:val="24"/>
          <w:lang w:val="en-US"/>
        </w:rPr>
        <w:t xml:space="preserve">, </w:t>
      </w:r>
      <w:r w:rsidRPr="00294235">
        <w:rPr>
          <w:b/>
          <w:color w:val="000000" w:themeColor="text1"/>
          <w:sz w:val="24"/>
          <w:lang w:val="en"/>
        </w:rPr>
        <w:t>R.R.</w:t>
      </w:r>
      <w:r w:rsidRPr="00294235">
        <w:rPr>
          <w:b/>
          <w:color w:val="000000" w:themeColor="text1"/>
          <w:sz w:val="24"/>
          <w:lang w:val="en-US"/>
        </w:rPr>
        <w:t xml:space="preserve"> </w:t>
      </w:r>
      <w:r w:rsidR="00755CDD" w:rsidRPr="00294235">
        <w:rPr>
          <w:b/>
          <w:color w:val="000000" w:themeColor="text1"/>
          <w:sz w:val="24"/>
          <w:lang w:val="en"/>
        </w:rPr>
        <w:t>A</w:t>
      </w:r>
      <w:r w:rsidRPr="00294235">
        <w:rPr>
          <w:b/>
          <w:color w:val="000000" w:themeColor="text1"/>
          <w:sz w:val="24"/>
          <w:lang w:val="en"/>
        </w:rPr>
        <w:t>lekyan</w:t>
      </w:r>
    </w:p>
    <w:p w:rsidR="00755CDD" w:rsidRPr="00294235" w:rsidRDefault="00755CDD" w:rsidP="00210540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  <w:r w:rsidRPr="00294235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Yuri Gagarin State Technical University of Saratov</w:t>
      </w:r>
    </w:p>
    <w:p w:rsidR="00B52980" w:rsidRPr="00294235" w:rsidRDefault="00B52980" w:rsidP="00210540">
      <w:pPr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  <w:lang w:val="en-US"/>
        </w:rPr>
      </w:pP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pacing w:val="-4"/>
          <w:szCs w:val="20"/>
          <w:lang w:val="en-US"/>
        </w:rPr>
      </w:pPr>
      <w:r w:rsidRPr="00294235">
        <w:rPr>
          <w:rFonts w:ascii="Times New Roman" w:hAnsi="Times New Roman"/>
          <w:b/>
          <w:i/>
          <w:color w:val="000000" w:themeColor="text1"/>
          <w:spacing w:val="-4"/>
          <w:szCs w:val="20"/>
          <w:lang w:val="en-US"/>
        </w:rPr>
        <w:t>A</w:t>
      </w:r>
      <w:r w:rsidR="00210540" w:rsidRPr="00294235">
        <w:rPr>
          <w:rFonts w:ascii="Times New Roman" w:hAnsi="Times New Roman"/>
          <w:b/>
          <w:i/>
          <w:color w:val="000000" w:themeColor="text1"/>
          <w:spacing w:val="-4"/>
          <w:szCs w:val="20"/>
          <w:lang w:val="en-US"/>
        </w:rPr>
        <w:t>bstract</w:t>
      </w:r>
      <w:r w:rsidRPr="00294235">
        <w:rPr>
          <w:rFonts w:ascii="Times New Roman" w:hAnsi="Times New Roman"/>
          <w:b/>
          <w:i/>
          <w:color w:val="000000" w:themeColor="text1"/>
          <w:spacing w:val="-4"/>
          <w:szCs w:val="20"/>
          <w:lang w:val="en-US"/>
        </w:rPr>
        <w:t>.</w:t>
      </w:r>
      <w:r w:rsidRPr="00294235">
        <w:rPr>
          <w:i/>
          <w:color w:val="000000" w:themeColor="text1"/>
          <w:spacing w:val="-4"/>
          <w:szCs w:val="20"/>
          <w:lang w:val="en-US"/>
        </w:rPr>
        <w:t xml:space="preserve"> </w:t>
      </w:r>
      <w:r w:rsidRPr="00294235">
        <w:rPr>
          <w:rFonts w:ascii="Times New Roman" w:hAnsi="Times New Roman"/>
          <w:i/>
          <w:color w:val="000000" w:themeColor="text1"/>
          <w:spacing w:val="-4"/>
          <w:szCs w:val="20"/>
          <w:lang w:val="en"/>
        </w:rPr>
        <w:t>The work determines the main performance indicators of the investment project</w:t>
      </w:r>
      <w:r w:rsidRPr="00294235">
        <w:rPr>
          <w:rFonts w:ascii="Times New Roman" w:hAnsi="Times New Roman"/>
          <w:i/>
          <w:color w:val="000000" w:themeColor="text1"/>
          <w:spacing w:val="-4"/>
          <w:szCs w:val="20"/>
          <w:lang w:val="en-US"/>
        </w:rPr>
        <w:t>: the net present value of the project and the internal rate of return. By applying a probabilistic model based on risk theory to these indicators, it is possible to establish the risk and reliability of this project.</w:t>
      </w: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szCs w:val="20"/>
          <w:lang w:val="en-US" w:eastAsia="ru-RU"/>
        </w:rPr>
      </w:pPr>
      <w:r w:rsidRPr="00294235">
        <w:rPr>
          <w:rFonts w:ascii="Times New Roman" w:hAnsi="Times New Roman"/>
          <w:b/>
          <w:i/>
          <w:color w:val="000000" w:themeColor="text1"/>
          <w:szCs w:val="20"/>
          <w:shd w:val="clear" w:color="auto" w:fill="FDFDFD"/>
          <w:lang w:val="en-US"/>
        </w:rPr>
        <w:t>Keywords:</w:t>
      </w:r>
      <w:r w:rsidRPr="00294235">
        <w:rPr>
          <w:rFonts w:ascii="Times New Roman" w:hAnsi="Times New Roman"/>
          <w:i/>
          <w:color w:val="000000" w:themeColor="text1"/>
          <w:szCs w:val="20"/>
          <w:shd w:val="clear" w:color="auto" w:fill="FDFDFD"/>
          <w:lang w:val="en-US"/>
        </w:rPr>
        <w:t xml:space="preserve"> investment project, the net present value of project, internal rate of return, risk, re</w:t>
      </w:r>
      <w:r w:rsidR="00210540" w:rsidRPr="00294235">
        <w:rPr>
          <w:rFonts w:ascii="Times New Roman" w:hAnsi="Times New Roman"/>
          <w:i/>
          <w:color w:val="000000" w:themeColor="text1"/>
          <w:szCs w:val="20"/>
          <w:shd w:val="clear" w:color="auto" w:fill="FDFDFD"/>
          <w:lang w:val="en-US"/>
        </w:rPr>
        <w:t>liability</w:t>
      </w: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18"/>
          <w:szCs w:val="24"/>
          <w:lang w:val="en-US" w:eastAsia="ru-RU"/>
        </w:rPr>
      </w:pPr>
    </w:p>
    <w:p w:rsidR="00755CDD" w:rsidRPr="00294235" w:rsidRDefault="00755CDD" w:rsidP="00333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В процессе исследовании инвестиционных проектов, как показывает мировая практика, используются подходы Всемирною Банка, методика ЮНИДО. Методы оценки эффективности проекта подразделяются на две группы, основанные на дисконтированных и учетных финансовых ресурсов. Выбор метода определяется сроками осуществления проекта, размером инвестиций, наличием альтернативных проектов и другими факторами. Наиболее часто для оценки эффективности проектов применяют методы, основанные на дисконтированных ресурсах, поскольку они значительно более точны, так как учитывают различные виды инфляции, изменения процентной ставки, нормы доходности и т.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д. К этим показателям относят метод индекса рентабельности, метод чистой текущей стоимости (приведенной ценности), метод внутренней нормы доходности (рентабельности) и метод текущей окупаемости.</w:t>
      </w:r>
    </w:p>
    <w:p w:rsidR="00755CDD" w:rsidRPr="00294235" w:rsidRDefault="00755CDD" w:rsidP="00333948">
      <w:pPr>
        <w:pStyle w:val="22"/>
        <w:ind w:left="0" w:firstLine="709"/>
        <w:rPr>
          <w:color w:val="000000" w:themeColor="text1"/>
          <w:sz w:val="24"/>
          <w:szCs w:val="24"/>
        </w:rPr>
      </w:pPr>
      <w:r w:rsidRPr="00294235">
        <w:rPr>
          <w:color w:val="000000" w:themeColor="text1"/>
          <w:sz w:val="24"/>
          <w:szCs w:val="24"/>
        </w:rPr>
        <w:t>Для российских условий имеются Методические рекомендации по оценке эффективности инвестиционных проектов [3], которые исправили и дополнили Методические рекомендации по оценке инвестиционных проектов и их отбору для финансирования [3]. Данные рекомендации конкретизированы (применены) в дорожном хозяйстве в качестве отраслевого дорожного методического документа – Руководство по оценке эк</w:t>
      </w:r>
      <w:r w:rsidR="00210540" w:rsidRPr="00294235">
        <w:rPr>
          <w:color w:val="000000" w:themeColor="text1"/>
          <w:sz w:val="24"/>
          <w:szCs w:val="24"/>
        </w:rPr>
        <w:t>ономической эффективности [1].</w:t>
      </w: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Как было показано в первой главе, в качестве основных показателей эффективности инвестиционного проекта устанавливают: </w:t>
      </w:r>
    </w:p>
    <w:p w:rsidR="00755CDD" w:rsidRPr="00294235" w:rsidRDefault="00755CDD" w:rsidP="00333948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финансовую (коммерческую) эффективность, учитывающую финансовые последствия для участников проекта; </w:t>
      </w:r>
    </w:p>
    <w:p w:rsidR="00755CDD" w:rsidRPr="00294235" w:rsidRDefault="00755CDD" w:rsidP="00333948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бюджетную эффективность, учитывающую финансовые последствия для бюджетов всех уровней; </w:t>
      </w:r>
    </w:p>
    <w:p w:rsidR="00755CDD" w:rsidRPr="00294235" w:rsidRDefault="00755CDD" w:rsidP="00333948">
      <w:pPr>
        <w:numPr>
          <w:ilvl w:val="0"/>
          <w:numId w:val="23"/>
        </w:numPr>
        <w:tabs>
          <w:tab w:val="left" w:pos="1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народнохозяйственную экономическую эффективность, учитывающую затраты и результаты (выгоды), выходящие за пределы прямых финансовых интересов участников проекта и допускающие стоимостное выражение. </w:t>
      </w: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>Чистая приведенная ценность проекта (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  <w:lang w:val="en-US"/>
        </w:rPr>
        <w:t>net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  <w:lang w:val="en-US"/>
        </w:rPr>
        <w:t>present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  <w:lang w:val="en-US"/>
        </w:rPr>
        <w:t>value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– </w:t>
      </w:r>
      <w:r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lang w:val="en-US"/>
        </w:rPr>
        <w:t>NPV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>) представляет собой разницу между дисконтированными выгодами и дисконтированными затратами, а внутренняя норма рентабельности (</w:t>
      </w:r>
      <w:r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lang w:val="en-US"/>
        </w:rPr>
        <w:t>IIR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>) – подбор такой величины ставки дисконтирования, при которой чистая приведенная ценность инвестиционного проекта обращается в ноль.</w:t>
      </w: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Поскольку к этим показателям в методических указаниях [1] относятся как к детерминированным (однозначно определенным) и не учитывают, что они могут оказаться невыполнимы из-за ряда причин, таких как изменение затрат на строительство (под воздействием погодных условий, роста стоимости дорожно-строительных материалов, строительной техники и т.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д.), а выгоды в процессе эксплуатации могут сократиться (с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уменьшением спроса на транспортные услуги), предлагаем применять к показателям </w:t>
      </w:r>
      <w:r w:rsidRPr="0029423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NPV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29423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IRR</w:t>
      </w:r>
      <w:r w:rsidRPr="0029423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вероятностную модель, основанную на теории риска. В этой модели учитывается также, что стоимость строительства зависит от ошибок в определении перспективной интенсивности движения. Это даст дополнительную информацию инвестору о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рисках, которым подвержен его капитал в процессе реализации проекта [3].</w:t>
      </w:r>
    </w:p>
    <w:p w:rsidR="00755CDD" w:rsidRPr="00294235" w:rsidRDefault="00755CDD" w:rsidP="00333948">
      <w:pPr>
        <w:pStyle w:val="a8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Если распределения вероятностей, показанные на рисунке а, соответствуют нормальному закону, то интегральное распределение (см. рисунок б) надежности вложения капитала можно установить по формуле:</w:t>
      </w:r>
    </w:p>
    <w:p w:rsidR="00755CDD" w:rsidRPr="00294235" w:rsidRDefault="00333948" w:rsidP="00333948">
      <w:pPr>
        <w:pStyle w:val="19"/>
        <w:rPr>
          <w:color w:val="000000" w:themeColor="text1"/>
        </w:rPr>
      </w:pPr>
      <w:r w:rsidRPr="00294235">
        <w:rPr>
          <w:color w:val="000000" w:themeColor="text1"/>
        </w:rPr>
        <w:tab/>
      </w:r>
      <w:r w:rsidR="00210540" w:rsidRPr="00294235">
        <w:rPr>
          <w:color w:val="000000" w:themeColor="text1"/>
          <w:position w:val="-42"/>
        </w:rPr>
        <w:object w:dxaOrig="300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9pt" o:ole="">
            <v:imagedata r:id="rId8" o:title=""/>
          </v:shape>
          <o:OLEObject Type="Embed" ProgID="Equation.3" ShapeID="_x0000_i1025" DrawAspect="Content" ObjectID="_1830093062" r:id="rId9"/>
        </w:object>
      </w:r>
      <w:r w:rsidR="00755CDD" w:rsidRPr="00294235">
        <w:rPr>
          <w:color w:val="000000" w:themeColor="text1"/>
        </w:rPr>
        <w:t>,</w:t>
      </w:r>
      <w:r w:rsidR="00B52980" w:rsidRPr="00294235">
        <w:rPr>
          <w:color w:val="000000" w:themeColor="text1"/>
        </w:rPr>
        <w:tab/>
      </w:r>
      <w:r w:rsidR="00755CDD" w:rsidRPr="00294235">
        <w:rPr>
          <w:color w:val="000000" w:themeColor="text1"/>
        </w:rPr>
        <w:t>(1)</w:t>
      </w:r>
    </w:p>
    <w:p w:rsidR="00755CDD" w:rsidRPr="00294235" w:rsidRDefault="00755CDD" w:rsidP="003339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где </w:t>
      </w:r>
      <w:r w:rsidRPr="00294235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60" w:dyaOrig="279">
          <v:shape id="_x0000_i1026" type="#_x0000_t75" style="width:11.25pt;height:14.25pt" o:ole="">
            <v:imagedata r:id="rId10" o:title=""/>
          </v:shape>
          <o:OLEObject Type="Embed" ProgID="Equation.3" ShapeID="_x0000_i1026" DrawAspect="Content" ObjectID="_1830093063" r:id="rId11"/>
        </w:objec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интегральное распределение надежности результатов проекта (вероятность того, что инвестиции, вложенные в проект, окупятся);</w:t>
      </w:r>
    </w:p>
    <w:p w:rsidR="00755CDD" w:rsidRPr="00294235" w:rsidRDefault="00755CDD" w:rsidP="0021054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00" w:dyaOrig="360">
          <v:shape id="_x0000_i1027" type="#_x0000_t75" style="width:30pt;height:18.75pt" o:ole="">
            <v:imagedata r:id="rId12" o:title=""/>
          </v:shape>
          <o:OLEObject Type="Embed" ProgID="Equation.3" ShapeID="_x0000_i1027" DrawAspect="Content" ObjectID="_1830093064" r:id="rId13"/>
        </w:objec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интеграл вероятности (функция Лапласа), определяемый по приложению 1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в работе [2] в зависимости от величины подынтегральной функции </w:t>
      </w:r>
      <w:r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20" w:dyaOrig="240">
          <v:shape id="_x0000_i1028" type="#_x0000_t75" style="width:10.5pt;height:11.25pt" o:ole="">
            <v:imagedata r:id="rId14" o:title=""/>
          </v:shape>
          <o:OLEObject Type="Embed" ProgID="Equation.3" ShapeID="_x0000_i1028" DrawAspect="Content" ObjectID="_1830093065" r:id="rId15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55CDD" w:rsidRPr="00294235" w:rsidRDefault="00755CDD" w:rsidP="0021054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80" w:dyaOrig="380">
          <v:shape id="_x0000_i1029" type="#_x0000_t75" style="width:33pt;height:18.75pt" o:ole="">
            <v:imagedata r:id="rId16" o:title=""/>
          </v:shape>
          <o:OLEObject Type="Embed" ProgID="Equation.3" ShapeID="_x0000_i1029" DrawAspect="Content" ObjectID="_1830093066" r:id="rId17"/>
        </w:objec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текущее значение чистой приведенной ценности, которая определяется при конкретных значениях исходных данных;</w:t>
      </w:r>
    </w:p>
    <w:p w:rsidR="00755CDD" w:rsidRPr="00294235" w:rsidRDefault="00755CDD" w:rsidP="0021054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80" w:dyaOrig="380">
          <v:shape id="_x0000_i1030" type="#_x0000_t75" style="width:33pt;height:18.75pt" o:ole="">
            <v:imagedata r:id="rId18" o:title=""/>
          </v:shape>
          <o:OLEObject Type="Embed" ProgID="Equation.3" ShapeID="_x0000_i1030" DrawAspect="Content" ObjectID="_1830093067" r:id="rId19"/>
        </w:objec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среднее квадр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атическое отклонение параметра </w:t>
      </w:r>
      <w:r w:rsidR="00333948" w:rsidRPr="0029423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580" w:dyaOrig="360">
          <v:shape id="_x0000_i1031" type="#_x0000_t75" style="width:27.75pt;height:16.5pt" o:ole="">
            <v:imagedata r:id="rId20" o:title=""/>
          </v:shape>
          <o:OLEObject Type="Embed" ProgID="Equation.3" ShapeID="_x0000_i1031" DrawAspect="Content" ObjectID="_1830093068" r:id="rId21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55CDD" w:rsidRPr="00294235" w:rsidRDefault="00755CDD" w:rsidP="0021054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pacing w:val="-4"/>
          <w:position w:val="-12"/>
          <w:sz w:val="24"/>
          <w:szCs w:val="24"/>
        </w:rPr>
        <w:object w:dxaOrig="760" w:dyaOrig="380">
          <v:shape id="_x0000_i1032" type="#_x0000_t75" style="width:39pt;height:18.75pt" o:ole="">
            <v:imagedata r:id="rId22" o:title=""/>
          </v:shape>
          <o:OLEObject Type="Embed" ProgID="Equation.3" ShapeID="_x0000_i1032" DrawAspect="Content" ObjectID="_1830093069" r:id="rId23"/>
        </w:object>
      </w:r>
      <w:r w:rsidR="00210540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–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среднее квадратическое отклонение параметра </w:t>
      </w:r>
      <w:r w:rsidR="00333948" w:rsidRPr="00294235">
        <w:rPr>
          <w:rFonts w:ascii="Times New Roman" w:hAnsi="Times New Roman"/>
          <w:color w:val="000000" w:themeColor="text1"/>
          <w:spacing w:val="-4"/>
          <w:position w:val="-12"/>
          <w:sz w:val="24"/>
          <w:szCs w:val="24"/>
        </w:rPr>
        <w:object w:dxaOrig="620" w:dyaOrig="360">
          <v:shape id="_x0000_i1033" type="#_x0000_t75" style="width:31.5pt;height:16.5pt" o:ole="">
            <v:imagedata r:id="rId24" o:title=""/>
          </v:shape>
          <o:OLEObject Type="Embed" ProgID="Equation.3" ShapeID="_x0000_i1033" DrawAspect="Content" ObjectID="_1830093070" r:id="rId25"/>
        </w:objec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(когда </w:t>
      </w:r>
      <w:r w:rsidR="00333948" w:rsidRPr="00294235">
        <w:rPr>
          <w:rFonts w:ascii="Times New Roman" w:hAnsi="Times New Roman"/>
          <w:color w:val="000000" w:themeColor="text1"/>
          <w:spacing w:val="-4"/>
          <w:position w:val="-4"/>
          <w:sz w:val="24"/>
          <w:szCs w:val="24"/>
        </w:rPr>
        <w:object w:dxaOrig="880" w:dyaOrig="260">
          <v:shape id="_x0000_i1034" type="#_x0000_t75" style="width:45.75pt;height:13.5pt" o:ole="">
            <v:imagedata r:id="rId26" o:title=""/>
          </v:shape>
          <o:OLEObject Type="Embed" ProgID="Equation.3" ShapeID="_x0000_i1034" DrawAspect="Content" ObjectID="_1830093071" r:id="rId27"/>
        </w:objec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>);</w:t>
      </w:r>
    </w:p>
    <w:p w:rsidR="00755CDD" w:rsidRPr="00294235" w:rsidRDefault="00333948" w:rsidP="0021054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position w:val="-16"/>
          <w:sz w:val="24"/>
          <w:szCs w:val="24"/>
          <w:lang w:val="en-US"/>
        </w:rPr>
        <w:object w:dxaOrig="2640" w:dyaOrig="520">
          <v:shape id="_x0000_i1035" type="#_x0000_t75" style="width:132.75pt;height:24.75pt" o:ole="">
            <v:imagedata r:id="rId28" o:title=""/>
          </v:shape>
          <o:OLEObject Type="Embed" ProgID="Equation.3" ShapeID="_x0000_i1035" DrawAspect="Content" ObjectID="_1830093072" r:id="rId29"/>
        </w:objec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суммарное среднее квадратическое отклонение чистой приведенной ценности проекта, учитывающее изменение внутренней нормы рентабельности за период эксплуатации проекта.</w:t>
      </w: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В формуле (1) </w:t>
      </w:r>
      <w:r w:rsidR="00210540" w:rsidRPr="0029423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580" w:dyaOrig="360">
          <v:shape id="_x0000_i1036" type="#_x0000_t75" style="width:27.75pt;height:16.5pt" o:ole="">
            <v:imagedata r:id="rId30" o:title=""/>
          </v:shape>
          <o:OLEObject Type="Embed" ProgID="Equation.3" ShapeID="_x0000_i1036" DrawAspect="Content" ObjectID="_1830093073" r:id="rId31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210540" w:rsidRPr="00294235">
        <w:rPr>
          <w:rFonts w:ascii="Times New Roman" w:hAnsi="Times New Roman"/>
          <w:color w:val="000000" w:themeColor="text1"/>
          <w:position w:val="-14"/>
          <w:sz w:val="24"/>
          <w:szCs w:val="24"/>
          <w:lang w:val="en-US"/>
        </w:rPr>
        <w:object w:dxaOrig="2340" w:dyaOrig="480">
          <v:shape id="_x0000_i1037" type="#_x0000_t75" style="width:117.75pt;height:21.75pt" o:ole="">
            <v:imagedata r:id="rId32" o:title=""/>
          </v:shape>
          <o:OLEObject Type="Embed" ProgID="Equation.3" ShapeID="_x0000_i1037" DrawAspect="Content" ObjectID="_1830093074" r:id="rId33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устанавливаются методом Монте-Карло [1], который позволит без предварительного вычисления параметров </w:t>
      </w:r>
      <w:r w:rsidRPr="0029423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80" w:dyaOrig="380">
          <v:shape id="_x0000_i1038" type="#_x0000_t75" style="width:33pt;height:18.75pt" o:ole="">
            <v:imagedata r:id="rId18" o:title=""/>
          </v:shape>
          <o:OLEObject Type="Embed" ProgID="Equation.3" ShapeID="_x0000_i1038" DrawAspect="Content" ObjectID="_1830093075" r:id="rId34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29423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760" w:dyaOrig="380">
          <v:shape id="_x0000_i1039" type="#_x0000_t75" style="width:39pt;height:18.75pt" o:ole="">
            <v:imagedata r:id="rId22" o:title=""/>
          </v:shape>
          <o:OLEObject Type="Embed" ProgID="Equation.3" ShapeID="_x0000_i1039" DrawAspect="Content" ObjectID="_1830093076" r:id="rId35"/>
        </w:objec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получить значение </w:t>
      </w:r>
      <w:r w:rsidRPr="00294235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560" w:dyaOrig="420">
          <v:shape id="_x0000_i1040" type="#_x0000_t75" style="width:26.25pt;height:21.75pt" o:ole="">
            <v:imagedata r:id="rId36" o:title=""/>
          </v:shape>
          <o:OLEObject Type="Embed" ProgID="Equation.3" ShapeID="_x0000_i1040" DrawAspect="Content" ObjectID="_1830093077" r:id="rId37"/>
        </w:objec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и уменьшит число итераций вдвое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(на 600-800 цик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>лов).</w:t>
      </w: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На рисунке а, б </w:t>
      </w:r>
      <w:r w:rsidR="00333948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580" w:dyaOrig="340">
          <v:shape id="_x0000_i1041" type="#_x0000_t75" style="width:27.75pt;height:16.5pt" o:ole="">
            <v:imagedata r:id="rId38" o:title=""/>
          </v:shape>
          <o:OLEObject Type="Embed" ProgID="Equation.3" ShapeID="_x0000_i1041" DrawAspect="Content" ObjectID="_1830093078" r:id="rId39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является средним значением текущей чистой приведенной ценности проекта.</w:t>
      </w: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</w:rPr>
      </w:pPr>
    </w:p>
    <w:p w:rsidR="00755CDD" w:rsidRPr="00294235" w:rsidRDefault="00755CDD" w:rsidP="00333948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294235">
        <w:rPr>
          <w:rFonts w:ascii="Times New Roman" w:hAnsi="Times New Roman"/>
          <w:noProof/>
          <w:color w:val="000000" w:themeColor="text1"/>
          <w:lang w:eastAsia="ru-RU"/>
        </w:rPr>
        <w:lastRenderedPageBreak/>
        <w:drawing>
          <wp:inline distT="0" distB="0" distL="0" distR="0" wp14:anchorId="5CAE1756" wp14:editId="1DC2275E">
            <wp:extent cx="3408419" cy="1692322"/>
            <wp:effectExtent l="0" t="0" r="1905" b="3175"/>
            <wp:docPr id="17" name="Рисунок 17" descr="Рисунок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Рисунок3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676" cy="169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948" w:rsidRPr="00294235" w:rsidRDefault="00333948" w:rsidP="00333948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</w:rPr>
      </w:pPr>
      <w:r w:rsidRPr="00294235">
        <w:rPr>
          <w:rFonts w:ascii="Times New Roman" w:hAnsi="Times New Roman"/>
          <w:color w:val="000000" w:themeColor="text1"/>
        </w:rPr>
        <w:t>а</w:t>
      </w:r>
    </w:p>
    <w:p w:rsidR="00755CDD" w:rsidRPr="00294235" w:rsidRDefault="00755CDD" w:rsidP="00333948">
      <w:pPr>
        <w:spacing w:after="0" w:line="240" w:lineRule="auto"/>
        <w:jc w:val="center"/>
        <w:rPr>
          <w:color w:val="000000" w:themeColor="text1"/>
        </w:rPr>
      </w:pPr>
      <w:r w:rsidRPr="00294235">
        <w:rPr>
          <w:noProof/>
          <w:color w:val="000000" w:themeColor="text1"/>
          <w:lang w:eastAsia="ru-RU"/>
        </w:rPr>
        <w:drawing>
          <wp:inline distT="0" distB="0" distL="0" distR="0" wp14:anchorId="50C60A1E" wp14:editId="587EFD5C">
            <wp:extent cx="3392412" cy="1613110"/>
            <wp:effectExtent l="0" t="0" r="0" b="6350"/>
            <wp:docPr id="16" name="Рисунок 16" descr="Рисунок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Рисунок4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998" cy="16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948" w:rsidRPr="00294235" w:rsidRDefault="00333948" w:rsidP="00333948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</w:rPr>
      </w:pPr>
      <w:r w:rsidRPr="00294235">
        <w:rPr>
          <w:rFonts w:ascii="Times New Roman" w:hAnsi="Times New Roman"/>
          <w:color w:val="000000" w:themeColor="text1"/>
        </w:rPr>
        <w:t>б</w:t>
      </w:r>
    </w:p>
    <w:p w:rsidR="00210540" w:rsidRPr="00294235" w:rsidRDefault="00210540" w:rsidP="00333948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</w:rPr>
      </w:pPr>
    </w:p>
    <w:p w:rsidR="00755CDD" w:rsidRPr="00294235" w:rsidRDefault="00755CDD" w:rsidP="00333948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294235">
        <w:rPr>
          <w:rFonts w:ascii="Times New Roman" w:hAnsi="Times New Roman"/>
          <w:color w:val="000000" w:themeColor="text1"/>
        </w:rPr>
        <w:t>Дифференциальное (</w:t>
      </w:r>
      <w:r w:rsidRPr="00294235">
        <w:rPr>
          <w:rFonts w:ascii="Times New Roman" w:hAnsi="Times New Roman"/>
          <w:color w:val="000000" w:themeColor="text1"/>
          <w:lang w:val="en-US"/>
        </w:rPr>
        <w:t>a</w:t>
      </w:r>
      <w:r w:rsidRPr="00294235">
        <w:rPr>
          <w:rFonts w:ascii="Times New Roman" w:hAnsi="Times New Roman"/>
          <w:color w:val="000000" w:themeColor="text1"/>
        </w:rPr>
        <w:t>) и интегральное (б) распределение вероятностей</w:t>
      </w:r>
    </w:p>
    <w:p w:rsidR="00755CDD" w:rsidRPr="00294235" w:rsidRDefault="00755CDD" w:rsidP="00333948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294235">
        <w:rPr>
          <w:rFonts w:ascii="Times New Roman" w:hAnsi="Times New Roman"/>
          <w:color w:val="000000" w:themeColor="text1"/>
        </w:rPr>
        <w:t>чистой приведенной ценности проекта</w:t>
      </w:r>
    </w:p>
    <w:p w:rsidR="00B52980" w:rsidRPr="00294235" w:rsidRDefault="00B52980" w:rsidP="003339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Зная, что риск потери инвестиций связан с уровнем надежности вложения капитала зависимостью </w:t>
      </w:r>
      <w:r w:rsidR="00210540" w:rsidRPr="00294235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880" w:dyaOrig="260">
          <v:shape id="_x0000_i1042" type="#_x0000_t75" style="width:44.25pt;height:13.5pt" o:ole="">
            <v:imagedata r:id="rId44" o:title=""/>
          </v:shape>
          <o:OLEObject Type="Embed" ProgID="Equation.3" ShapeID="_x0000_i1042" DrawAspect="Content" ObjectID="_1830093079" r:id="rId45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, получаем</w:t>
      </w:r>
    </w:p>
    <w:p w:rsidR="00B52980" w:rsidRPr="00294235" w:rsidRDefault="00333948" w:rsidP="00497F4B">
      <w:pPr>
        <w:pStyle w:val="19"/>
        <w:spacing w:before="240" w:after="240"/>
        <w:rPr>
          <w:color w:val="000000" w:themeColor="text1"/>
        </w:rPr>
      </w:pPr>
      <w:r w:rsidRPr="00294235">
        <w:rPr>
          <w:color w:val="000000" w:themeColor="text1"/>
        </w:rPr>
        <w:tab/>
      </w:r>
      <w:r w:rsidR="00210540" w:rsidRPr="00294235">
        <w:rPr>
          <w:color w:val="000000" w:themeColor="text1"/>
          <w:position w:val="-42"/>
        </w:rPr>
        <w:object w:dxaOrig="2940" w:dyaOrig="960">
          <v:shape id="_x0000_i1043" type="#_x0000_t75" style="width:147.75pt;height:49.5pt" o:ole="">
            <v:imagedata r:id="rId46" o:title=""/>
          </v:shape>
          <o:OLEObject Type="Embed" ProgID="Equation.3" ShapeID="_x0000_i1043" DrawAspect="Content" ObjectID="_1830093080" r:id="rId47"/>
        </w:object>
      </w:r>
      <w:r w:rsidR="00B52980" w:rsidRPr="00294235">
        <w:rPr>
          <w:color w:val="000000" w:themeColor="text1"/>
        </w:rPr>
        <w:t>,</w:t>
      </w:r>
      <w:r w:rsidR="00B52980" w:rsidRPr="00294235">
        <w:rPr>
          <w:color w:val="000000" w:themeColor="text1"/>
        </w:rPr>
        <w:tab/>
        <w:t>(2)</w:t>
      </w:r>
    </w:p>
    <w:p w:rsidR="00B52980" w:rsidRPr="00294235" w:rsidRDefault="00B52980" w:rsidP="003339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где </w:t>
      </w:r>
      <w:r w:rsidRPr="00294235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44" type="#_x0000_t75" style="width:9.75pt;height:10.5pt" o:ole="">
            <v:imagedata r:id="rId48" o:title=""/>
          </v:shape>
          <o:OLEObject Type="Embed" ProgID="Equation.3" ShapeID="_x0000_i1044" DrawAspect="Content" ObjectID="_1830093081" r:id="rId49"/>
        </w:objec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риск результатов проекта (вероятность потери капитала);</w:t>
      </w:r>
    </w:p>
    <w:p w:rsidR="00B52980" w:rsidRPr="00294235" w:rsidRDefault="00333948" w:rsidP="00333948">
      <w:pPr>
        <w:tabs>
          <w:tab w:val="num" w:pos="720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580" w:dyaOrig="360">
          <v:shape id="_x0000_i1045" type="#_x0000_t75" style="width:27.75pt;height:16.5pt" o:ole="">
            <v:imagedata r:id="rId50" o:title=""/>
          </v:shape>
          <o:OLEObject Type="Embed" ProgID="Equation.3" ShapeID="_x0000_i1045" DrawAspect="Content" ObjectID="_1830093082" r:id="rId51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52980" w:rsidRPr="0029423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680" w:dyaOrig="380">
          <v:shape id="_x0000_i1046" type="#_x0000_t75" style="width:33pt;height:18.75pt" o:ole="">
            <v:imagedata r:id="rId18" o:title=""/>
          </v:shape>
          <o:OLEObject Type="Embed" ProgID="Equation.3" ShapeID="_x0000_i1046" DrawAspect="Content" ObjectID="_1830093083" r:id="rId52"/>
        </w:objec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B52980" w:rsidRPr="0029423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760" w:dyaOrig="380">
          <v:shape id="_x0000_i1047" type="#_x0000_t75" style="width:39pt;height:18.75pt" o:ole="">
            <v:imagedata r:id="rId22" o:title=""/>
          </v:shape>
          <o:OLEObject Type="Embed" ProgID="Equation.3" ShapeID="_x0000_i1047" DrawAspect="Content" ObjectID="_1830093084" r:id="rId53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– то же, что и в формуле (1).</w:t>
      </w:r>
    </w:p>
    <w:p w:rsidR="00B52980" w:rsidRPr="00294235" w:rsidRDefault="00B52980" w:rsidP="00333948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Анализ формул (1) и (2) показал, что если: </w:t>
      </w:r>
    </w:p>
    <w:p w:rsidR="00B52980" w:rsidRPr="00294235" w:rsidRDefault="00333948" w:rsidP="00333948">
      <w:pPr>
        <w:spacing w:after="0" w:line="240" w:lineRule="auto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48" type="#_x0000_t75" style="width:31.5pt;height:20.25pt" o:ole="">
            <v:imagedata r:id="rId54" o:title=""/>
          </v:shape>
          <o:OLEObject Type="Embed" ProgID="Equation.3" ShapeID="_x0000_i1048" DrawAspect="Content" ObjectID="_1830093085" r:id="rId55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&lt;</w:t>
      </w:r>
      <w:r w:rsidR="00210540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49" type="#_x0000_t75" style="width:9.75pt;height:14.25pt" o:ole="">
            <v:imagedata r:id="rId56" o:title=""/>
          </v:shape>
          <o:OLEObject Type="Embed" ProgID="Equation.3" ShapeID="_x0000_i1049" DrawAspect="Content" ObjectID="_1830093086" r:id="rId57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, то</w:t>
      </w:r>
      <w:r w:rsidR="00210540" w:rsidRPr="00294235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50" type="#_x0000_t75" style="width:10.5pt;height:13.5pt" o:ole="">
            <v:imagedata r:id="rId58" o:title=""/>
          </v:shape>
          <o:OLEObject Type="Embed" ProgID="Equation.3" ShapeID="_x0000_i1050" DrawAspect="Content" ObjectID="_1830093087" r:id="rId59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210540" w:rsidRPr="00294235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80" w:dyaOrig="320">
          <v:shape id="_x0000_i1051" type="#_x0000_t75" style="width:33pt;height:16.5pt" o:ole="">
            <v:imagedata r:id="rId60" o:title=""/>
          </v:shape>
          <o:OLEObject Type="Embed" ProgID="Equation.3" ShapeID="_x0000_i1051" DrawAspect="Content" ObjectID="_1830093088" r:id="rId61"/>
        </w:object>
      </w:r>
      <w:r w:rsidR="00B52980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52" type="#_x0000_t75" style="width:16.5pt;height:11.25pt" o:ole="">
            <v:imagedata r:id="rId62" o:title=""/>
          </v:shape>
          <o:OLEObject Type="Embed" ProgID="Equation.3" ShapeID="_x0000_i1052" DrawAspect="Content" ObjectID="_1830093089" r:id="rId63"/>
        </w:object>
      </w:r>
      <w:r w:rsidR="00B52980" w:rsidRPr="00294235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53" type="#_x0000_t75" style="width:9.75pt;height:10.5pt" o:ole="">
            <v:imagedata r:id="rId48" o:title=""/>
          </v:shape>
          <o:OLEObject Type="Embed" ProgID="Equation.3" ShapeID="_x0000_i1053" DrawAspect="Content" ObjectID="_1830093090" r:id="rId64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210540" w:rsidRPr="00294235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39" w:dyaOrig="320">
          <v:shape id="_x0000_i1054" type="#_x0000_t75" style="width:32.25pt;height:16.5pt" o:ole="">
            <v:imagedata r:id="rId65" o:title=""/>
          </v:shape>
          <o:OLEObject Type="Embed" ProgID="Equation.3" ShapeID="_x0000_i1054" DrawAspect="Content" ObjectID="_1830093091" r:id="rId66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52980" w:rsidRPr="00294235" w:rsidRDefault="00333948" w:rsidP="00333948">
      <w:pPr>
        <w:spacing w:after="0" w:line="240" w:lineRule="auto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55" type="#_x0000_t75" style="width:31.5pt;height:20.25pt" o:ole="">
            <v:imagedata r:id="rId67" o:title=""/>
          </v:shape>
          <o:OLEObject Type="Embed" ProgID="Equation.3" ShapeID="_x0000_i1055" DrawAspect="Content" ObjectID="_1830093092" r:id="rId68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210540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56" type="#_x0000_t75" style="width:9.75pt;height:14.25pt" o:ole="">
            <v:imagedata r:id="rId69" o:title=""/>
          </v:shape>
          <o:OLEObject Type="Embed" ProgID="Equation.3" ShapeID="_x0000_i1056" DrawAspect="Content" ObjectID="_1830093093" r:id="rId70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, то </w:t>
      </w:r>
      <w:r w:rsidR="00210540" w:rsidRPr="00294235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57" type="#_x0000_t75" style="width:10.5pt;height:13.5pt" o:ole="">
            <v:imagedata r:id="rId71" o:title=""/>
          </v:shape>
          <o:OLEObject Type="Embed" ProgID="Equation.3" ShapeID="_x0000_i1057" DrawAspect="Content" ObjectID="_1830093094" r:id="rId72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210540" w:rsidRPr="00294235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360" w:dyaOrig="320">
          <v:shape id="_x0000_i1058" type="#_x0000_t75" style="width:18.75pt;height:16.5pt" o:ole="">
            <v:imagedata r:id="rId73" o:title=""/>
          </v:shape>
          <o:OLEObject Type="Embed" ProgID="Equation.3" ShapeID="_x0000_i1058" DrawAspect="Content" ObjectID="_1830093095" r:id="rId74"/>
        </w:object>
      </w:r>
      <w:r w:rsidR="00B52980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59" type="#_x0000_t75" style="width:16.5pt;height:11.25pt" o:ole="">
            <v:imagedata r:id="rId75" o:title=""/>
          </v:shape>
          <o:OLEObject Type="Embed" ProgID="Equation.3" ShapeID="_x0000_i1059" DrawAspect="Content" ObjectID="_1830093096" r:id="rId76"/>
        </w:object>
      </w:r>
      <w:r w:rsidR="00B52980" w:rsidRPr="00294235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60" type="#_x0000_t75" style="width:9.75pt;height:10.5pt" o:ole="">
            <v:imagedata r:id="rId48" o:title=""/>
          </v:shape>
          <o:OLEObject Type="Embed" ProgID="Equation.3" ShapeID="_x0000_i1060" DrawAspect="Content" ObjectID="_1830093097" r:id="rId77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210540" w:rsidRPr="00294235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360" w:dyaOrig="320">
          <v:shape id="_x0000_i1061" type="#_x0000_t75" style="width:18.75pt;height:16.5pt" o:ole="">
            <v:imagedata r:id="rId78" o:title=""/>
          </v:shape>
          <o:OLEObject Type="Embed" ProgID="Equation.3" ShapeID="_x0000_i1061" DrawAspect="Content" ObjectID="_1830093098" r:id="rId79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52980" w:rsidRPr="00294235" w:rsidRDefault="00333948" w:rsidP="00333948">
      <w:pPr>
        <w:spacing w:after="0" w:line="240" w:lineRule="auto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62" type="#_x0000_t75" style="width:31.5pt;height:20.25pt" o:ole="">
            <v:imagedata r:id="rId80" o:title=""/>
          </v:shape>
          <o:OLEObject Type="Embed" ProgID="Equation.3" ShapeID="_x0000_i1062" DrawAspect="Content" ObjectID="_1830093099" r:id="rId81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&gt;</w:t>
      </w:r>
      <w:r w:rsidR="00210540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63" type="#_x0000_t75" style="width:9.75pt;height:14.25pt" o:ole="">
            <v:imagedata r:id="rId82" o:title=""/>
          </v:shape>
          <o:OLEObject Type="Embed" ProgID="Equation.3" ShapeID="_x0000_i1063" DrawAspect="Content" ObjectID="_1830093100" r:id="rId83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, то </w:t>
      </w:r>
      <w:r w:rsidR="00210540" w:rsidRPr="00294235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64" type="#_x0000_t75" style="width:10.5pt;height:13.5pt" o:ole="">
            <v:imagedata r:id="rId84" o:title=""/>
          </v:shape>
          <o:OLEObject Type="Embed" ProgID="Equation.3" ShapeID="_x0000_i1064" DrawAspect="Content" ObjectID="_1830093101" r:id="rId85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210540" w:rsidRPr="00294235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39" w:dyaOrig="320">
          <v:shape id="_x0000_i1065" type="#_x0000_t75" style="width:32.25pt;height:16.5pt" o:ole="">
            <v:imagedata r:id="rId86" o:title=""/>
          </v:shape>
          <o:OLEObject Type="Embed" ProgID="Equation.3" ShapeID="_x0000_i1065" DrawAspect="Content" ObjectID="_1830093102" r:id="rId87"/>
        </w:object>
      </w:r>
      <w:r w:rsidR="00B52980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340" w:dyaOrig="260">
          <v:shape id="_x0000_i1066" type="#_x0000_t75" style="width:16.5pt;height:11.25pt" o:ole="">
            <v:imagedata r:id="rId75" o:title=""/>
          </v:shape>
          <o:OLEObject Type="Embed" ProgID="Equation.3" ShapeID="_x0000_i1066" DrawAspect="Content" ObjectID="_1830093103" r:id="rId88"/>
        </w:object>
      </w:r>
      <w:r w:rsidR="00B52980" w:rsidRPr="00294235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20">
          <v:shape id="_x0000_i1067" type="#_x0000_t75" style="width:9.75pt;height:10.5pt" o:ole="">
            <v:imagedata r:id="rId48" o:title=""/>
          </v:shape>
          <o:OLEObject Type="Embed" ProgID="Equation.3" ShapeID="_x0000_i1067" DrawAspect="Content" ObjectID="_1830093104" r:id="rId89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210540" w:rsidRPr="00294235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80" w:dyaOrig="320">
          <v:shape id="_x0000_i1068" type="#_x0000_t75" style="width:33pt;height:16.5pt" o:ole="">
            <v:imagedata r:id="rId90" o:title=""/>
          </v:shape>
          <o:OLEObject Type="Embed" ProgID="Equation.3" ShapeID="_x0000_i1068" DrawAspect="Content" ObjectID="_1830093105" r:id="rId91"/>
        </w:object>
      </w:r>
      <w:r w:rsidR="00B52980" w:rsidRPr="0029423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Формула (2) показывает какова вероятность потери капитала (например, при </w:t>
      </w:r>
      <w:r w:rsidR="00210540" w:rsidRPr="00294235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620" w:dyaOrig="400">
          <v:shape id="_x0000_i1069" type="#_x0000_t75" style="width:31.5pt;height:20.25pt" o:ole="">
            <v:imagedata r:id="rId92" o:title=""/>
          </v:shape>
          <o:OLEObject Type="Embed" ProgID="Equation.3" ShapeID="_x0000_i1069" DrawAspect="Content" ObjectID="_1830093106" r:id="rId93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&gt;</w:t>
      </w:r>
      <w:r w:rsidR="00210540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>
          <v:shape id="_x0000_i1070" type="#_x0000_t75" style="width:9.75pt;height:14.25pt" o:ole="">
            <v:imagedata r:id="rId94" o:title=""/>
          </v:shape>
          <o:OLEObject Type="Embed" ProgID="Equation.3" ShapeID="_x0000_i1070" DrawAspect="Content" ObjectID="_1830093107" r:id="rId95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вероятность потери минимальна и значит, инвестор при таком выборе получит выгоды, которые без анализа риска были бы упущены). Поэтому анализ риска расширяет возможности существующих методов и тем самым позволяет инвестору отказаться от необоснованных затрат.</w:t>
      </w:r>
    </w:p>
    <w:p w:rsidR="00755CDD" w:rsidRPr="00294235" w:rsidRDefault="00755CDD" w:rsidP="0021054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24"/>
        </w:rPr>
      </w:pPr>
    </w:p>
    <w:p w:rsidR="00755CDD" w:rsidRPr="00294235" w:rsidRDefault="00542D98" w:rsidP="002105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942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СПИСОК ИСТОЧНИКОВ</w:t>
      </w:r>
    </w:p>
    <w:p w:rsidR="00755CDD" w:rsidRPr="00294235" w:rsidRDefault="00755CDD" w:rsidP="002105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24"/>
          <w:lang w:eastAsia="ru-RU"/>
        </w:rPr>
      </w:pPr>
    </w:p>
    <w:p w:rsidR="00755CDD" w:rsidRPr="00294235" w:rsidRDefault="00755CDD" w:rsidP="00210540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Руководство по прогнозированию интенсивности движения на автомобильных до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>рогах (для опытного применения)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: отраслевой дор. метод. док.: утв. Распоряжением Минтранса России 19.06.2003 № ОС – 555-р.</w:t>
      </w:r>
    </w:p>
    <w:p w:rsidR="00755CDD" w:rsidRPr="00294235" w:rsidRDefault="00755CDD" w:rsidP="00210540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Столяров В.В. Экспертиза дорожно-транспортных происшествий на основе теории риска: </w:t>
      </w:r>
      <w:r w:rsidR="005C031F" w:rsidRPr="00294235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чеб</w:t>
      </w:r>
      <w:r w:rsidR="005C031F" w:rsidRPr="0029423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пособие</w:t>
      </w:r>
      <w:r w:rsidR="00497F4B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E6B02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– Саратов: 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Сарат. гос. техн. ун-т, 1996. 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497F4B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176</w:t>
      </w:r>
      <w:r w:rsidR="00210540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с.</w:t>
      </w:r>
    </w:p>
    <w:p w:rsidR="00755CDD" w:rsidRPr="00294235" w:rsidRDefault="00755CDD" w:rsidP="00210540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Столяров В.В.</w:t>
      </w:r>
      <w:r w:rsidR="005C031F" w:rsidRPr="0029423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031F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Бажанов А.П. 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Совершенствование методов применения принципов технического регулирования в дорожной деятельности: моногр</w:t>
      </w:r>
      <w:r w:rsidR="005C031F" w:rsidRPr="00294235">
        <w:rPr>
          <w:rFonts w:ascii="Times New Roman" w:hAnsi="Times New Roman"/>
          <w:color w:val="000000" w:themeColor="text1"/>
          <w:sz w:val="24"/>
          <w:szCs w:val="24"/>
        </w:rPr>
        <w:t>афия. –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Пенза: ПГУАС, 2014. – 212 с.</w:t>
      </w:r>
    </w:p>
    <w:p w:rsidR="00755CDD" w:rsidRPr="00294235" w:rsidRDefault="00755CDD" w:rsidP="0033394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sectPr w:rsidR="00755CDD" w:rsidRPr="00294235" w:rsidSect="0008412C">
      <w:footerReference w:type="even" r:id="rId96"/>
      <w:footerReference w:type="default" r:id="rId97"/>
      <w:footerReference w:type="first" r:id="rId98"/>
      <w:pgSz w:w="11906" w:h="16838"/>
      <w:pgMar w:top="1134" w:right="1418" w:bottom="153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15" w:rsidRDefault="00745C15">
      <w:pPr>
        <w:spacing w:after="0" w:line="240" w:lineRule="auto"/>
      </w:pPr>
      <w:r>
        <w:separator/>
      </w:r>
    </w:p>
  </w:endnote>
  <w:endnote w:type="continuationSeparator" w:id="0">
    <w:p w:rsidR="00745C15" w:rsidRDefault="0074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518375393"/>
      <w:docPartObj>
        <w:docPartGallery w:val="Page Numbers (Bottom of Page)"/>
        <w:docPartUnique/>
      </w:docPartObj>
    </w:sdtPr>
    <w:sdtEndPr/>
    <w:sdtContent>
      <w:p w:rsidR="005C031F" w:rsidRPr="007D184C" w:rsidRDefault="005C031F" w:rsidP="007D184C">
        <w:pPr>
          <w:pStyle w:val="af"/>
          <w:ind w:firstLine="0"/>
          <w:rPr>
            <w:rFonts w:ascii="Times New Roman" w:hAnsi="Times New Roman"/>
            <w:sz w:val="24"/>
          </w:rPr>
        </w:pPr>
        <w:r w:rsidRPr="007D184C">
          <w:rPr>
            <w:rFonts w:ascii="Times New Roman" w:hAnsi="Times New Roman"/>
            <w:sz w:val="24"/>
          </w:rPr>
          <w:fldChar w:fldCharType="begin"/>
        </w:r>
        <w:r w:rsidRPr="007D184C">
          <w:rPr>
            <w:rFonts w:ascii="Times New Roman" w:hAnsi="Times New Roman"/>
            <w:sz w:val="24"/>
          </w:rPr>
          <w:instrText>PAGE   \* MERGEFORMAT</w:instrText>
        </w:r>
        <w:r w:rsidRPr="007D184C">
          <w:rPr>
            <w:rFonts w:ascii="Times New Roman" w:hAnsi="Times New Roman"/>
            <w:sz w:val="24"/>
          </w:rPr>
          <w:fldChar w:fldCharType="separate"/>
        </w:r>
        <w:r w:rsidR="009D17D0">
          <w:rPr>
            <w:rFonts w:ascii="Times New Roman" w:hAnsi="Times New Roman"/>
            <w:noProof/>
            <w:sz w:val="24"/>
          </w:rPr>
          <w:t>2</w:t>
        </w:r>
        <w:r w:rsidRPr="007D184C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886827056"/>
      <w:docPartObj>
        <w:docPartGallery w:val="Page Numbers (Bottom of Page)"/>
        <w:docPartUnique/>
      </w:docPartObj>
    </w:sdtPr>
    <w:sdtEndPr/>
    <w:sdtContent>
      <w:p w:rsidR="005C031F" w:rsidRPr="007D184C" w:rsidRDefault="005C031F" w:rsidP="007D184C">
        <w:pPr>
          <w:pStyle w:val="af"/>
          <w:jc w:val="right"/>
          <w:rPr>
            <w:rFonts w:ascii="Times New Roman" w:hAnsi="Times New Roman"/>
            <w:sz w:val="24"/>
          </w:rPr>
        </w:pPr>
        <w:r w:rsidRPr="007D184C">
          <w:rPr>
            <w:rFonts w:ascii="Times New Roman" w:hAnsi="Times New Roman"/>
            <w:sz w:val="24"/>
          </w:rPr>
          <w:fldChar w:fldCharType="begin"/>
        </w:r>
        <w:r w:rsidRPr="007D184C">
          <w:rPr>
            <w:rFonts w:ascii="Times New Roman" w:hAnsi="Times New Roman"/>
            <w:sz w:val="24"/>
          </w:rPr>
          <w:instrText>PAGE   \* MERGEFORMAT</w:instrText>
        </w:r>
        <w:r w:rsidRPr="007D184C">
          <w:rPr>
            <w:rFonts w:ascii="Times New Roman" w:hAnsi="Times New Roman"/>
            <w:sz w:val="24"/>
          </w:rPr>
          <w:fldChar w:fldCharType="separate"/>
        </w:r>
        <w:r w:rsidR="009D17D0">
          <w:rPr>
            <w:rFonts w:ascii="Times New Roman" w:hAnsi="Times New Roman"/>
            <w:noProof/>
            <w:sz w:val="24"/>
          </w:rPr>
          <w:t>1</w:t>
        </w:r>
        <w:r w:rsidRPr="007D184C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19036"/>
      <w:docPartObj>
        <w:docPartGallery w:val="Page Numbers (Bottom of Page)"/>
        <w:docPartUnique/>
      </w:docPartObj>
    </w:sdtPr>
    <w:sdtEndPr/>
    <w:sdtContent>
      <w:p w:rsidR="005C031F" w:rsidRDefault="005C031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5C031F" w:rsidRDefault="005C031F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15" w:rsidRDefault="00745C15">
      <w:pPr>
        <w:spacing w:after="0" w:line="240" w:lineRule="auto"/>
      </w:pPr>
      <w:r>
        <w:separator/>
      </w:r>
    </w:p>
  </w:footnote>
  <w:footnote w:type="continuationSeparator" w:id="0">
    <w:p w:rsidR="00745C15" w:rsidRDefault="00745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149FE"/>
    <w:multiLevelType w:val="hybridMultilevel"/>
    <w:tmpl w:val="7B0E2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71CB"/>
    <w:multiLevelType w:val="hybridMultilevel"/>
    <w:tmpl w:val="72A47332"/>
    <w:lvl w:ilvl="0" w:tplc="E18A2EC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C9405E"/>
    <w:multiLevelType w:val="hybridMultilevel"/>
    <w:tmpl w:val="40B02974"/>
    <w:lvl w:ilvl="0" w:tplc="7F7AF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93C04"/>
    <w:multiLevelType w:val="hybridMultilevel"/>
    <w:tmpl w:val="7DD4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1B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736612E"/>
    <w:multiLevelType w:val="hybridMultilevel"/>
    <w:tmpl w:val="9BD487A4"/>
    <w:lvl w:ilvl="0" w:tplc="78F85D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917CD"/>
    <w:multiLevelType w:val="hybridMultilevel"/>
    <w:tmpl w:val="91F03B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9844830"/>
    <w:multiLevelType w:val="hybridMultilevel"/>
    <w:tmpl w:val="5F3633BE"/>
    <w:lvl w:ilvl="0" w:tplc="6A885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AE81559"/>
    <w:multiLevelType w:val="hybridMultilevel"/>
    <w:tmpl w:val="01F69FAC"/>
    <w:lvl w:ilvl="0" w:tplc="91CCB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AF344C5"/>
    <w:multiLevelType w:val="hybridMultilevel"/>
    <w:tmpl w:val="3E92C7CE"/>
    <w:lvl w:ilvl="0" w:tplc="572EFB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D2329A9"/>
    <w:multiLevelType w:val="hybridMultilevel"/>
    <w:tmpl w:val="9D287034"/>
    <w:lvl w:ilvl="0" w:tplc="E7D6939C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bCs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461F12"/>
    <w:multiLevelType w:val="hybridMultilevel"/>
    <w:tmpl w:val="5060F0A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72529E0"/>
    <w:multiLevelType w:val="hybridMultilevel"/>
    <w:tmpl w:val="025E101E"/>
    <w:lvl w:ilvl="0" w:tplc="07EC26F4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8E6898"/>
    <w:multiLevelType w:val="hybridMultilevel"/>
    <w:tmpl w:val="C29AFE7C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E05C3F"/>
    <w:multiLevelType w:val="hybridMultilevel"/>
    <w:tmpl w:val="32369FF4"/>
    <w:lvl w:ilvl="0" w:tplc="EB7C8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635A8"/>
    <w:multiLevelType w:val="hybridMultilevel"/>
    <w:tmpl w:val="1938F2EE"/>
    <w:lvl w:ilvl="0" w:tplc="B76054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B2A5E61"/>
    <w:multiLevelType w:val="hybridMultilevel"/>
    <w:tmpl w:val="04B26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716612"/>
    <w:multiLevelType w:val="hybridMultilevel"/>
    <w:tmpl w:val="BF3259DC"/>
    <w:lvl w:ilvl="0" w:tplc="C3C4B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B886530"/>
    <w:multiLevelType w:val="hybridMultilevel"/>
    <w:tmpl w:val="9F3C331E"/>
    <w:lvl w:ilvl="0" w:tplc="15E67D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D73D1"/>
    <w:multiLevelType w:val="multilevel"/>
    <w:tmpl w:val="37F08502"/>
    <w:lvl w:ilvl="0">
      <w:start w:val="1"/>
      <w:numFmt w:val="decimal"/>
      <w:lvlText w:val="%1."/>
      <w:lvlJc w:val="left"/>
      <w:pPr>
        <w:ind w:left="404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72873AE"/>
    <w:multiLevelType w:val="hybridMultilevel"/>
    <w:tmpl w:val="C9405338"/>
    <w:lvl w:ilvl="0" w:tplc="DE2E1ADA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61C32"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 w:tplc="F5BE116A">
      <w:numFmt w:val="bullet"/>
      <w:lvlText w:val="•"/>
      <w:lvlJc w:val="left"/>
      <w:pPr>
        <w:ind w:left="2133" w:hanging="286"/>
      </w:pPr>
      <w:rPr>
        <w:rFonts w:hint="default"/>
        <w:lang w:val="ru-RU" w:eastAsia="en-US" w:bidi="ar-SA"/>
      </w:rPr>
    </w:lvl>
    <w:lvl w:ilvl="3" w:tplc="5220FC9A">
      <w:numFmt w:val="bullet"/>
      <w:lvlText w:val="•"/>
      <w:lvlJc w:val="left"/>
      <w:pPr>
        <w:ind w:left="3055" w:hanging="286"/>
      </w:pPr>
      <w:rPr>
        <w:rFonts w:hint="default"/>
        <w:lang w:val="ru-RU" w:eastAsia="en-US" w:bidi="ar-SA"/>
      </w:rPr>
    </w:lvl>
    <w:lvl w:ilvl="4" w:tplc="46BAC6E6">
      <w:numFmt w:val="bullet"/>
      <w:lvlText w:val="•"/>
      <w:lvlJc w:val="left"/>
      <w:pPr>
        <w:ind w:left="3978" w:hanging="286"/>
      </w:pPr>
      <w:rPr>
        <w:rFonts w:hint="default"/>
        <w:lang w:val="ru-RU" w:eastAsia="en-US" w:bidi="ar-SA"/>
      </w:rPr>
    </w:lvl>
    <w:lvl w:ilvl="5" w:tplc="DA964310">
      <w:numFmt w:val="bullet"/>
      <w:lvlText w:val="•"/>
      <w:lvlJc w:val="left"/>
      <w:pPr>
        <w:ind w:left="4901" w:hanging="286"/>
      </w:pPr>
      <w:rPr>
        <w:rFonts w:hint="default"/>
        <w:lang w:val="ru-RU" w:eastAsia="en-US" w:bidi="ar-SA"/>
      </w:rPr>
    </w:lvl>
    <w:lvl w:ilvl="6" w:tplc="138E7AD4">
      <w:numFmt w:val="bullet"/>
      <w:lvlText w:val="•"/>
      <w:lvlJc w:val="left"/>
      <w:pPr>
        <w:ind w:left="5823" w:hanging="286"/>
      </w:pPr>
      <w:rPr>
        <w:rFonts w:hint="default"/>
        <w:lang w:val="ru-RU" w:eastAsia="en-US" w:bidi="ar-SA"/>
      </w:rPr>
    </w:lvl>
    <w:lvl w:ilvl="7" w:tplc="B900AB8E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F46A0D64">
      <w:numFmt w:val="bullet"/>
      <w:lvlText w:val="•"/>
      <w:lvlJc w:val="left"/>
      <w:pPr>
        <w:ind w:left="7669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299210D3"/>
    <w:multiLevelType w:val="hybridMultilevel"/>
    <w:tmpl w:val="6A74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30FBA"/>
    <w:multiLevelType w:val="hybridMultilevel"/>
    <w:tmpl w:val="9A96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42FB0"/>
    <w:multiLevelType w:val="hybridMultilevel"/>
    <w:tmpl w:val="61649B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04F0E9A"/>
    <w:multiLevelType w:val="hybridMultilevel"/>
    <w:tmpl w:val="CCC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2F3E00"/>
    <w:multiLevelType w:val="hybridMultilevel"/>
    <w:tmpl w:val="33EA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C2565"/>
    <w:multiLevelType w:val="hybridMultilevel"/>
    <w:tmpl w:val="4D58B47A"/>
    <w:lvl w:ilvl="0" w:tplc="D5F810D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C876D3"/>
    <w:multiLevelType w:val="hybridMultilevel"/>
    <w:tmpl w:val="8CA0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E191C"/>
    <w:multiLevelType w:val="hybridMultilevel"/>
    <w:tmpl w:val="EEFE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5E254E"/>
    <w:multiLevelType w:val="hybridMultilevel"/>
    <w:tmpl w:val="97D419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B0F72E3"/>
    <w:multiLevelType w:val="hybridMultilevel"/>
    <w:tmpl w:val="70B692A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B1F4373"/>
    <w:multiLevelType w:val="hybridMultilevel"/>
    <w:tmpl w:val="9094F0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F556A32"/>
    <w:multiLevelType w:val="hybridMultilevel"/>
    <w:tmpl w:val="E542AF9E"/>
    <w:lvl w:ilvl="0" w:tplc="6588A44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43D035A8"/>
    <w:multiLevelType w:val="hybridMultilevel"/>
    <w:tmpl w:val="D9A4274A"/>
    <w:lvl w:ilvl="0" w:tplc="07F24740">
      <w:start w:val="4"/>
      <w:numFmt w:val="bullet"/>
      <w:lvlText w:val="-"/>
      <w:lvlJc w:val="left"/>
      <w:pPr>
        <w:tabs>
          <w:tab w:val="num" w:pos="1860"/>
        </w:tabs>
        <w:ind w:left="186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4A2082"/>
    <w:multiLevelType w:val="hybridMultilevel"/>
    <w:tmpl w:val="31E2F6F6"/>
    <w:lvl w:ilvl="0" w:tplc="F22C3A2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4AF40BB"/>
    <w:multiLevelType w:val="hybridMultilevel"/>
    <w:tmpl w:val="395C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03340E"/>
    <w:multiLevelType w:val="hybridMultilevel"/>
    <w:tmpl w:val="C750E07E"/>
    <w:lvl w:ilvl="0" w:tplc="04602B6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63C1F4F"/>
    <w:multiLevelType w:val="hybridMultilevel"/>
    <w:tmpl w:val="4A7010F0"/>
    <w:lvl w:ilvl="0" w:tplc="2B445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7316B5"/>
    <w:multiLevelType w:val="hybridMultilevel"/>
    <w:tmpl w:val="B9FEDF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6F2A4C"/>
    <w:multiLevelType w:val="hybridMultilevel"/>
    <w:tmpl w:val="EA9ABB88"/>
    <w:lvl w:ilvl="0" w:tplc="DF6008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950F08"/>
    <w:multiLevelType w:val="hybridMultilevel"/>
    <w:tmpl w:val="CB2E33B4"/>
    <w:lvl w:ilvl="0" w:tplc="81C28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FE66E50"/>
    <w:multiLevelType w:val="hybridMultilevel"/>
    <w:tmpl w:val="18829658"/>
    <w:lvl w:ilvl="0" w:tplc="9A40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2E44ADF"/>
    <w:multiLevelType w:val="hybridMultilevel"/>
    <w:tmpl w:val="2450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B25095"/>
    <w:multiLevelType w:val="hybridMultilevel"/>
    <w:tmpl w:val="40100E24"/>
    <w:lvl w:ilvl="0" w:tplc="34144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1EC77F2"/>
    <w:multiLevelType w:val="hybridMultilevel"/>
    <w:tmpl w:val="0EDC538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3627DD5"/>
    <w:multiLevelType w:val="hybridMultilevel"/>
    <w:tmpl w:val="2AB6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837F75"/>
    <w:multiLevelType w:val="hybridMultilevel"/>
    <w:tmpl w:val="079E9F54"/>
    <w:lvl w:ilvl="0" w:tplc="796ED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6B5F7840"/>
    <w:multiLevelType w:val="hybridMultilevel"/>
    <w:tmpl w:val="DDFCB5B4"/>
    <w:lvl w:ilvl="0" w:tplc="BD423EE6">
      <w:start w:val="1"/>
      <w:numFmt w:val="decimal"/>
      <w:lvlText w:val="%1."/>
      <w:lvlJc w:val="left"/>
      <w:pPr>
        <w:ind w:left="141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B67CA3"/>
    <w:multiLevelType w:val="hybridMultilevel"/>
    <w:tmpl w:val="458A40AA"/>
    <w:lvl w:ilvl="0" w:tplc="97122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F184912"/>
    <w:multiLevelType w:val="singleLevel"/>
    <w:tmpl w:val="F78A17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1" w15:restartNumberingAfterBreak="0">
    <w:nsid w:val="72946025"/>
    <w:multiLevelType w:val="hybridMultilevel"/>
    <w:tmpl w:val="8754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F46440"/>
    <w:multiLevelType w:val="hybridMultilevel"/>
    <w:tmpl w:val="B050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0922AA"/>
    <w:multiLevelType w:val="hybridMultilevel"/>
    <w:tmpl w:val="3E48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A60CD0"/>
    <w:multiLevelType w:val="hybridMultilevel"/>
    <w:tmpl w:val="7AEAE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DC5507A"/>
    <w:multiLevelType w:val="hybridMultilevel"/>
    <w:tmpl w:val="5754C59E"/>
    <w:lvl w:ilvl="0" w:tplc="BB5EBF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E097F61"/>
    <w:multiLevelType w:val="hybridMultilevel"/>
    <w:tmpl w:val="ED348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D1728F"/>
    <w:multiLevelType w:val="hybridMultilevel"/>
    <w:tmpl w:val="5344C7B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2"/>
  </w:num>
  <w:num w:numId="2">
    <w:abstractNumId w:val="56"/>
  </w:num>
  <w:num w:numId="3">
    <w:abstractNumId w:val="51"/>
  </w:num>
  <w:num w:numId="4">
    <w:abstractNumId w:val="45"/>
  </w:num>
  <w:num w:numId="5">
    <w:abstractNumId w:val="26"/>
  </w:num>
  <w:num w:numId="6">
    <w:abstractNumId w:val="37"/>
  </w:num>
  <w:num w:numId="7">
    <w:abstractNumId w:val="18"/>
  </w:num>
  <w:num w:numId="8">
    <w:abstractNumId w:val="55"/>
  </w:num>
  <w:num w:numId="9">
    <w:abstractNumId w:val="2"/>
  </w:num>
  <w:num w:numId="10">
    <w:abstractNumId w:val="17"/>
  </w:num>
  <w:num w:numId="11">
    <w:abstractNumId w:val="8"/>
  </w:num>
  <w:num w:numId="12">
    <w:abstractNumId w:val="52"/>
  </w:num>
  <w:num w:numId="13">
    <w:abstractNumId w:val="9"/>
  </w:num>
  <w:num w:numId="14">
    <w:abstractNumId w:val="41"/>
  </w:num>
  <w:num w:numId="15">
    <w:abstractNumId w:val="43"/>
  </w:num>
  <w:num w:numId="16">
    <w:abstractNumId w:val="29"/>
  </w:num>
  <w:num w:numId="17">
    <w:abstractNumId w:val="46"/>
  </w:num>
  <w:num w:numId="18">
    <w:abstractNumId w:val="53"/>
  </w:num>
  <w:num w:numId="19">
    <w:abstractNumId w:val="20"/>
  </w:num>
  <w:num w:numId="20">
    <w:abstractNumId w:val="44"/>
  </w:num>
  <w:num w:numId="21">
    <w:abstractNumId w:val="48"/>
  </w:num>
  <w:num w:numId="22">
    <w:abstractNumId w:val="13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>
    <w:abstractNumId w:val="34"/>
  </w:num>
  <w:num w:numId="25">
    <w:abstractNumId w:val="27"/>
  </w:num>
  <w:num w:numId="26">
    <w:abstractNumId w:val="50"/>
  </w:num>
  <w:num w:numId="27">
    <w:abstractNumId w:val="5"/>
  </w:num>
  <w:num w:numId="28">
    <w:abstractNumId w:val="16"/>
  </w:num>
  <w:num w:numId="29">
    <w:abstractNumId w:val="47"/>
  </w:num>
  <w:num w:numId="30">
    <w:abstractNumId w:val="24"/>
  </w:num>
  <w:num w:numId="31">
    <w:abstractNumId w:val="12"/>
  </w:num>
  <w:num w:numId="32">
    <w:abstractNumId w:val="7"/>
  </w:num>
  <w:num w:numId="33">
    <w:abstractNumId w:val="33"/>
  </w:num>
  <w:num w:numId="34">
    <w:abstractNumId w:val="39"/>
  </w:num>
  <w:num w:numId="35">
    <w:abstractNumId w:val="57"/>
  </w:num>
  <w:num w:numId="36">
    <w:abstractNumId w:val="28"/>
  </w:num>
  <w:num w:numId="37">
    <w:abstractNumId w:val="30"/>
  </w:num>
  <w:num w:numId="38">
    <w:abstractNumId w:val="1"/>
  </w:num>
  <w:num w:numId="39">
    <w:abstractNumId w:val="54"/>
  </w:num>
  <w:num w:numId="40">
    <w:abstractNumId w:val="32"/>
  </w:num>
  <w:num w:numId="41">
    <w:abstractNumId w:val="10"/>
  </w:num>
  <w:num w:numId="42">
    <w:abstractNumId w:val="11"/>
  </w:num>
  <w:num w:numId="43">
    <w:abstractNumId w:val="21"/>
  </w:num>
  <w:num w:numId="44">
    <w:abstractNumId w:val="14"/>
  </w:num>
  <w:num w:numId="45">
    <w:abstractNumId w:val="36"/>
  </w:num>
  <w:num w:numId="46">
    <w:abstractNumId w:val="40"/>
  </w:num>
  <w:num w:numId="47">
    <w:abstractNumId w:val="38"/>
  </w:num>
  <w:num w:numId="48">
    <w:abstractNumId w:val="49"/>
  </w:num>
  <w:num w:numId="49">
    <w:abstractNumId w:val="19"/>
  </w:num>
  <w:num w:numId="50">
    <w:abstractNumId w:val="22"/>
  </w:num>
  <w:num w:numId="51">
    <w:abstractNumId w:val="4"/>
  </w:num>
  <w:num w:numId="52">
    <w:abstractNumId w:val="25"/>
  </w:num>
  <w:num w:numId="53">
    <w:abstractNumId w:val="23"/>
  </w:num>
  <w:num w:numId="54">
    <w:abstractNumId w:val="6"/>
  </w:num>
  <w:num w:numId="55">
    <w:abstractNumId w:val="15"/>
  </w:num>
  <w:num w:numId="56">
    <w:abstractNumId w:val="31"/>
  </w:num>
  <w:num w:numId="57">
    <w:abstractNumId w:val="35"/>
  </w:num>
  <w:num w:numId="58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4D"/>
    <w:rsid w:val="00006826"/>
    <w:rsid w:val="00013EB1"/>
    <w:rsid w:val="000147FE"/>
    <w:rsid w:val="00026D9B"/>
    <w:rsid w:val="00031571"/>
    <w:rsid w:val="00040B9B"/>
    <w:rsid w:val="00043BF2"/>
    <w:rsid w:val="00061E82"/>
    <w:rsid w:val="00072C69"/>
    <w:rsid w:val="000736B0"/>
    <w:rsid w:val="000817D8"/>
    <w:rsid w:val="00082E7F"/>
    <w:rsid w:val="0008412C"/>
    <w:rsid w:val="00085F6C"/>
    <w:rsid w:val="00090855"/>
    <w:rsid w:val="000A6F48"/>
    <w:rsid w:val="000C5F1C"/>
    <w:rsid w:val="000E057E"/>
    <w:rsid w:val="000E1793"/>
    <w:rsid w:val="000E3BD0"/>
    <w:rsid w:val="000F5C52"/>
    <w:rsid w:val="00122E25"/>
    <w:rsid w:val="00127114"/>
    <w:rsid w:val="00135463"/>
    <w:rsid w:val="00141480"/>
    <w:rsid w:val="001518EE"/>
    <w:rsid w:val="00156F4B"/>
    <w:rsid w:val="00190E83"/>
    <w:rsid w:val="00196448"/>
    <w:rsid w:val="00196DA6"/>
    <w:rsid w:val="00197C02"/>
    <w:rsid w:val="001A62E2"/>
    <w:rsid w:val="001C13E5"/>
    <w:rsid w:val="001C3553"/>
    <w:rsid w:val="001E36EC"/>
    <w:rsid w:val="001E7C07"/>
    <w:rsid w:val="001F3383"/>
    <w:rsid w:val="00202EFF"/>
    <w:rsid w:val="00206FE6"/>
    <w:rsid w:val="00210540"/>
    <w:rsid w:val="00210635"/>
    <w:rsid w:val="002219AF"/>
    <w:rsid w:val="002317E6"/>
    <w:rsid w:val="00242166"/>
    <w:rsid w:val="00242B44"/>
    <w:rsid w:val="002469F6"/>
    <w:rsid w:val="00260F76"/>
    <w:rsid w:val="0026530C"/>
    <w:rsid w:val="00277546"/>
    <w:rsid w:val="00281661"/>
    <w:rsid w:val="00285A40"/>
    <w:rsid w:val="00294235"/>
    <w:rsid w:val="00294D15"/>
    <w:rsid w:val="002A7BB3"/>
    <w:rsid w:val="002B3C70"/>
    <w:rsid w:val="002C2ADF"/>
    <w:rsid w:val="002D397E"/>
    <w:rsid w:val="002D437C"/>
    <w:rsid w:val="002E2855"/>
    <w:rsid w:val="00312420"/>
    <w:rsid w:val="003175A0"/>
    <w:rsid w:val="003242C1"/>
    <w:rsid w:val="00333948"/>
    <w:rsid w:val="00340AFD"/>
    <w:rsid w:val="0034167B"/>
    <w:rsid w:val="00362BCC"/>
    <w:rsid w:val="00364A62"/>
    <w:rsid w:val="0037167F"/>
    <w:rsid w:val="00373B1E"/>
    <w:rsid w:val="00385708"/>
    <w:rsid w:val="0039250C"/>
    <w:rsid w:val="003933C1"/>
    <w:rsid w:val="003968C0"/>
    <w:rsid w:val="003A2E0C"/>
    <w:rsid w:val="003A3955"/>
    <w:rsid w:val="003A5DCF"/>
    <w:rsid w:val="003A6EB6"/>
    <w:rsid w:val="003C449F"/>
    <w:rsid w:val="003D45FF"/>
    <w:rsid w:val="003D4B29"/>
    <w:rsid w:val="003D4E27"/>
    <w:rsid w:val="003D5F55"/>
    <w:rsid w:val="003D5FBC"/>
    <w:rsid w:val="003E029B"/>
    <w:rsid w:val="003E5733"/>
    <w:rsid w:val="003E5793"/>
    <w:rsid w:val="003F07A3"/>
    <w:rsid w:val="003F2337"/>
    <w:rsid w:val="003F73A1"/>
    <w:rsid w:val="00403B9F"/>
    <w:rsid w:val="00407D34"/>
    <w:rsid w:val="00415288"/>
    <w:rsid w:val="00422F9F"/>
    <w:rsid w:val="004453B5"/>
    <w:rsid w:val="00447FCB"/>
    <w:rsid w:val="0045070B"/>
    <w:rsid w:val="00452D3D"/>
    <w:rsid w:val="004657FB"/>
    <w:rsid w:val="00473142"/>
    <w:rsid w:val="00481680"/>
    <w:rsid w:val="0049399A"/>
    <w:rsid w:val="00495E5A"/>
    <w:rsid w:val="0049768E"/>
    <w:rsid w:val="00497F4B"/>
    <w:rsid w:val="004A07E9"/>
    <w:rsid w:val="004B32FE"/>
    <w:rsid w:val="004B3A56"/>
    <w:rsid w:val="004D1ADC"/>
    <w:rsid w:val="00504D0F"/>
    <w:rsid w:val="005073FA"/>
    <w:rsid w:val="00511259"/>
    <w:rsid w:val="00515EDA"/>
    <w:rsid w:val="005231D7"/>
    <w:rsid w:val="00523793"/>
    <w:rsid w:val="005276A3"/>
    <w:rsid w:val="00542D98"/>
    <w:rsid w:val="005603AA"/>
    <w:rsid w:val="00565663"/>
    <w:rsid w:val="00570126"/>
    <w:rsid w:val="005705DA"/>
    <w:rsid w:val="005934B5"/>
    <w:rsid w:val="005A21AA"/>
    <w:rsid w:val="005A41ED"/>
    <w:rsid w:val="005A5773"/>
    <w:rsid w:val="005A71A6"/>
    <w:rsid w:val="005C031F"/>
    <w:rsid w:val="005C1AFB"/>
    <w:rsid w:val="005D53F9"/>
    <w:rsid w:val="005E6F84"/>
    <w:rsid w:val="006061D1"/>
    <w:rsid w:val="006070DA"/>
    <w:rsid w:val="00614B62"/>
    <w:rsid w:val="0062094F"/>
    <w:rsid w:val="00621E9F"/>
    <w:rsid w:val="00625D65"/>
    <w:rsid w:val="00631C64"/>
    <w:rsid w:val="006343D8"/>
    <w:rsid w:val="00636F9A"/>
    <w:rsid w:val="0064013C"/>
    <w:rsid w:val="00642026"/>
    <w:rsid w:val="00644C40"/>
    <w:rsid w:val="006535EE"/>
    <w:rsid w:val="006617C1"/>
    <w:rsid w:val="00677230"/>
    <w:rsid w:val="00677B86"/>
    <w:rsid w:val="0068582C"/>
    <w:rsid w:val="00690BED"/>
    <w:rsid w:val="006940D0"/>
    <w:rsid w:val="006A0925"/>
    <w:rsid w:val="006B0B36"/>
    <w:rsid w:val="006B1A7E"/>
    <w:rsid w:val="006B4AC6"/>
    <w:rsid w:val="006B4B1A"/>
    <w:rsid w:val="006C4560"/>
    <w:rsid w:val="006C7253"/>
    <w:rsid w:val="006D056A"/>
    <w:rsid w:val="006E4A4F"/>
    <w:rsid w:val="006E6DAB"/>
    <w:rsid w:val="006F239E"/>
    <w:rsid w:val="006F24C3"/>
    <w:rsid w:val="006F3C5C"/>
    <w:rsid w:val="00710C1A"/>
    <w:rsid w:val="00721B5C"/>
    <w:rsid w:val="00722C70"/>
    <w:rsid w:val="00730052"/>
    <w:rsid w:val="00743F83"/>
    <w:rsid w:val="00745C15"/>
    <w:rsid w:val="0075363E"/>
    <w:rsid w:val="00755CDD"/>
    <w:rsid w:val="00757110"/>
    <w:rsid w:val="00767E8F"/>
    <w:rsid w:val="00794BEF"/>
    <w:rsid w:val="00796B1C"/>
    <w:rsid w:val="007A0487"/>
    <w:rsid w:val="007A42D2"/>
    <w:rsid w:val="007B0264"/>
    <w:rsid w:val="007B27D0"/>
    <w:rsid w:val="007B3692"/>
    <w:rsid w:val="007C7718"/>
    <w:rsid w:val="007D184C"/>
    <w:rsid w:val="007E48EA"/>
    <w:rsid w:val="007F7D10"/>
    <w:rsid w:val="008042CE"/>
    <w:rsid w:val="00804FB6"/>
    <w:rsid w:val="00805C0C"/>
    <w:rsid w:val="00807A0E"/>
    <w:rsid w:val="008125FB"/>
    <w:rsid w:val="00820802"/>
    <w:rsid w:val="00831E62"/>
    <w:rsid w:val="00834096"/>
    <w:rsid w:val="00847621"/>
    <w:rsid w:val="00861588"/>
    <w:rsid w:val="00863879"/>
    <w:rsid w:val="00865788"/>
    <w:rsid w:val="008733B4"/>
    <w:rsid w:val="00892504"/>
    <w:rsid w:val="008D4634"/>
    <w:rsid w:val="008E271D"/>
    <w:rsid w:val="008E6B02"/>
    <w:rsid w:val="008F4E14"/>
    <w:rsid w:val="00900063"/>
    <w:rsid w:val="00902836"/>
    <w:rsid w:val="00903880"/>
    <w:rsid w:val="00903C34"/>
    <w:rsid w:val="00903C54"/>
    <w:rsid w:val="00912DCE"/>
    <w:rsid w:val="009314DF"/>
    <w:rsid w:val="00960EC2"/>
    <w:rsid w:val="00983601"/>
    <w:rsid w:val="00995703"/>
    <w:rsid w:val="009A20A2"/>
    <w:rsid w:val="009A3994"/>
    <w:rsid w:val="009B3CA3"/>
    <w:rsid w:val="009D17D0"/>
    <w:rsid w:val="009D5D91"/>
    <w:rsid w:val="009E10F1"/>
    <w:rsid w:val="009E1F7F"/>
    <w:rsid w:val="009E7AE8"/>
    <w:rsid w:val="009F312D"/>
    <w:rsid w:val="009F4950"/>
    <w:rsid w:val="009F4A9E"/>
    <w:rsid w:val="009F5A0E"/>
    <w:rsid w:val="00A02527"/>
    <w:rsid w:val="00A07C46"/>
    <w:rsid w:val="00A10D63"/>
    <w:rsid w:val="00A146B7"/>
    <w:rsid w:val="00A33F9D"/>
    <w:rsid w:val="00A40EC5"/>
    <w:rsid w:val="00A45578"/>
    <w:rsid w:val="00A6042D"/>
    <w:rsid w:val="00A6499C"/>
    <w:rsid w:val="00A64D55"/>
    <w:rsid w:val="00A72882"/>
    <w:rsid w:val="00A72A7E"/>
    <w:rsid w:val="00A73283"/>
    <w:rsid w:val="00A91D5D"/>
    <w:rsid w:val="00A92FB2"/>
    <w:rsid w:val="00A93CE9"/>
    <w:rsid w:val="00AA0103"/>
    <w:rsid w:val="00AA4545"/>
    <w:rsid w:val="00AC025C"/>
    <w:rsid w:val="00AC3AF7"/>
    <w:rsid w:val="00AD4D61"/>
    <w:rsid w:val="00AE280D"/>
    <w:rsid w:val="00AF3001"/>
    <w:rsid w:val="00AF4B2D"/>
    <w:rsid w:val="00B04D48"/>
    <w:rsid w:val="00B04F4A"/>
    <w:rsid w:val="00B0684F"/>
    <w:rsid w:val="00B14984"/>
    <w:rsid w:val="00B24C06"/>
    <w:rsid w:val="00B30EF6"/>
    <w:rsid w:val="00B52980"/>
    <w:rsid w:val="00B5313C"/>
    <w:rsid w:val="00B65521"/>
    <w:rsid w:val="00B6750A"/>
    <w:rsid w:val="00B7585E"/>
    <w:rsid w:val="00B778BF"/>
    <w:rsid w:val="00B85DDC"/>
    <w:rsid w:val="00BA2797"/>
    <w:rsid w:val="00BB2F51"/>
    <w:rsid w:val="00BB375B"/>
    <w:rsid w:val="00BB4799"/>
    <w:rsid w:val="00BB4BA6"/>
    <w:rsid w:val="00BC1F0F"/>
    <w:rsid w:val="00BD20F1"/>
    <w:rsid w:val="00BE7949"/>
    <w:rsid w:val="00C12980"/>
    <w:rsid w:val="00C25FFF"/>
    <w:rsid w:val="00C4513B"/>
    <w:rsid w:val="00C45CAD"/>
    <w:rsid w:val="00C61B58"/>
    <w:rsid w:val="00C62067"/>
    <w:rsid w:val="00C65C3E"/>
    <w:rsid w:val="00C74151"/>
    <w:rsid w:val="00C74362"/>
    <w:rsid w:val="00C86A04"/>
    <w:rsid w:val="00C92A1C"/>
    <w:rsid w:val="00CA137B"/>
    <w:rsid w:val="00CC4E1B"/>
    <w:rsid w:val="00CD7211"/>
    <w:rsid w:val="00CF1E7D"/>
    <w:rsid w:val="00D04F1E"/>
    <w:rsid w:val="00D05820"/>
    <w:rsid w:val="00D07C3D"/>
    <w:rsid w:val="00D11D03"/>
    <w:rsid w:val="00D13D42"/>
    <w:rsid w:val="00D21D05"/>
    <w:rsid w:val="00D25812"/>
    <w:rsid w:val="00D4505C"/>
    <w:rsid w:val="00D55816"/>
    <w:rsid w:val="00D55A77"/>
    <w:rsid w:val="00D7190B"/>
    <w:rsid w:val="00D8428A"/>
    <w:rsid w:val="00D930BF"/>
    <w:rsid w:val="00D96AF5"/>
    <w:rsid w:val="00DA2468"/>
    <w:rsid w:val="00DA3D98"/>
    <w:rsid w:val="00DB0505"/>
    <w:rsid w:val="00DB050D"/>
    <w:rsid w:val="00DB3ADF"/>
    <w:rsid w:val="00DB49EB"/>
    <w:rsid w:val="00DB6244"/>
    <w:rsid w:val="00DD6020"/>
    <w:rsid w:val="00DE0790"/>
    <w:rsid w:val="00DF4C4D"/>
    <w:rsid w:val="00E01C1D"/>
    <w:rsid w:val="00E072B4"/>
    <w:rsid w:val="00E11DAD"/>
    <w:rsid w:val="00E13A03"/>
    <w:rsid w:val="00E152D4"/>
    <w:rsid w:val="00E26BB1"/>
    <w:rsid w:val="00E54D2E"/>
    <w:rsid w:val="00E57B0A"/>
    <w:rsid w:val="00E57C93"/>
    <w:rsid w:val="00E66211"/>
    <w:rsid w:val="00E71CDB"/>
    <w:rsid w:val="00E7683F"/>
    <w:rsid w:val="00E77ED1"/>
    <w:rsid w:val="00E81C16"/>
    <w:rsid w:val="00E84D2F"/>
    <w:rsid w:val="00E84D70"/>
    <w:rsid w:val="00E937AC"/>
    <w:rsid w:val="00E942CD"/>
    <w:rsid w:val="00E9665B"/>
    <w:rsid w:val="00EA3865"/>
    <w:rsid w:val="00EA79A9"/>
    <w:rsid w:val="00EB152B"/>
    <w:rsid w:val="00EB40CC"/>
    <w:rsid w:val="00EC19DA"/>
    <w:rsid w:val="00EC4EAA"/>
    <w:rsid w:val="00ED108E"/>
    <w:rsid w:val="00ED3B87"/>
    <w:rsid w:val="00EE2E4D"/>
    <w:rsid w:val="00EE6D98"/>
    <w:rsid w:val="00EF54E0"/>
    <w:rsid w:val="00F03257"/>
    <w:rsid w:val="00F043C7"/>
    <w:rsid w:val="00F12C5A"/>
    <w:rsid w:val="00F207D8"/>
    <w:rsid w:val="00F21419"/>
    <w:rsid w:val="00F273E2"/>
    <w:rsid w:val="00F31E28"/>
    <w:rsid w:val="00F50819"/>
    <w:rsid w:val="00F55EF3"/>
    <w:rsid w:val="00F64A40"/>
    <w:rsid w:val="00F67FE7"/>
    <w:rsid w:val="00F831CE"/>
    <w:rsid w:val="00F90562"/>
    <w:rsid w:val="00F91A74"/>
    <w:rsid w:val="00F96378"/>
    <w:rsid w:val="00F96883"/>
    <w:rsid w:val="00FA0EE0"/>
    <w:rsid w:val="00FA3042"/>
    <w:rsid w:val="00FB4BDE"/>
    <w:rsid w:val="00FC37B7"/>
    <w:rsid w:val="00FC5CBF"/>
    <w:rsid w:val="00FD6348"/>
    <w:rsid w:val="00FE75F1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277397-FC81-424E-9F4C-A1E83DD3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65521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5521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65521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831E62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65521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4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unhideWhenUsed/>
    <w:rsid w:val="006E4A4F"/>
    <w:rPr>
      <w:color w:val="0000FF"/>
      <w:u w:val="single"/>
    </w:rPr>
  </w:style>
  <w:style w:type="character" w:customStyle="1" w:styleId="s1">
    <w:name w:val="s1"/>
    <w:basedOn w:val="a0"/>
    <w:rsid w:val="006E4A4F"/>
  </w:style>
  <w:style w:type="character" w:customStyle="1" w:styleId="s8">
    <w:name w:val="s8"/>
    <w:basedOn w:val="a0"/>
    <w:rsid w:val="006E4A4F"/>
  </w:style>
  <w:style w:type="paragraph" w:styleId="a6">
    <w:name w:val="List Paragraph"/>
    <w:basedOn w:val="a"/>
    <w:link w:val="a7"/>
    <w:uiPriority w:val="34"/>
    <w:qFormat/>
    <w:rsid w:val="00F31E28"/>
    <w:pPr>
      <w:ind w:left="720"/>
      <w:contextualSpacing/>
    </w:pPr>
  </w:style>
  <w:style w:type="paragraph" w:styleId="a8">
    <w:name w:val="Body Text"/>
    <w:basedOn w:val="a"/>
    <w:link w:val="a9"/>
    <w:unhideWhenUsed/>
    <w:rsid w:val="00831E62"/>
    <w:pPr>
      <w:spacing w:after="120"/>
    </w:pPr>
  </w:style>
  <w:style w:type="character" w:customStyle="1" w:styleId="a9">
    <w:name w:val="Основной текст Знак"/>
    <w:basedOn w:val="a0"/>
    <w:link w:val="a8"/>
    <w:rsid w:val="00831E62"/>
  </w:style>
  <w:style w:type="character" w:customStyle="1" w:styleId="10">
    <w:name w:val="Заголовок 1 Знак"/>
    <w:basedOn w:val="a0"/>
    <w:link w:val="1"/>
    <w:uiPriority w:val="9"/>
    <w:rsid w:val="00831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831E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-reference">
    <w:name w:val="bib-reference"/>
    <w:basedOn w:val="a"/>
    <w:rsid w:val="0083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3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F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5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55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552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65521"/>
    <w:rPr>
      <w:rFonts w:ascii="Calibri" w:eastAsia="Times New Roman" w:hAnsi="Calibri" w:cs="Times New Roman"/>
      <w:b/>
      <w:bCs/>
      <w:lang w:eastAsia="ru-RU"/>
    </w:rPr>
  </w:style>
  <w:style w:type="character" w:customStyle="1" w:styleId="tooltip">
    <w:name w:val="tooltip"/>
    <w:basedOn w:val="a0"/>
    <w:rsid w:val="00B65521"/>
  </w:style>
  <w:style w:type="paragraph" w:styleId="ac">
    <w:name w:val="TOC Heading"/>
    <w:basedOn w:val="1"/>
    <w:next w:val="a"/>
    <w:uiPriority w:val="39"/>
    <w:unhideWhenUsed/>
    <w:qFormat/>
    <w:rsid w:val="00B65521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5521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65521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uiPriority w:val="99"/>
    <w:semiHidden/>
    <w:rsid w:val="00B65521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B6552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521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65521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655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65521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65521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65521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655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B65521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B65521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65521"/>
    <w:rPr>
      <w:sz w:val="16"/>
      <w:szCs w:val="16"/>
    </w:rPr>
  </w:style>
  <w:style w:type="paragraph" w:styleId="af3">
    <w:name w:val="caption"/>
    <w:basedOn w:val="a"/>
    <w:next w:val="a"/>
    <w:qFormat/>
    <w:rsid w:val="00B65521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65521"/>
  </w:style>
  <w:style w:type="character" w:customStyle="1" w:styleId="af5">
    <w:name w:val="Заголовок Знак"/>
    <w:basedOn w:val="a0"/>
    <w:link w:val="af6"/>
    <w:rsid w:val="00B6552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65521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655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65521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65521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65521"/>
    <w:rPr>
      <w:i/>
      <w:iCs/>
      <w:color w:val="5B9BD5" w:themeColor="accent1"/>
    </w:rPr>
  </w:style>
  <w:style w:type="paragraph" w:customStyle="1" w:styleId="Style2">
    <w:name w:val="Style2"/>
    <w:basedOn w:val="a"/>
    <w:rsid w:val="00B65521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65521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65521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qFormat/>
    <w:rsid w:val="00B65521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qFormat/>
    <w:rsid w:val="00B6552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403B9F"/>
    <w:rPr>
      <w:b/>
      <w:bCs/>
    </w:rPr>
  </w:style>
  <w:style w:type="paragraph" w:customStyle="1" w:styleId="Default">
    <w:name w:val="Default"/>
    <w:rsid w:val="00403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qFormat/>
    <w:rsid w:val="00403B9F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40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03B9F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755CDD"/>
  </w:style>
  <w:style w:type="paragraph" w:styleId="24">
    <w:name w:val="Body Text 2"/>
    <w:basedOn w:val="a"/>
    <w:link w:val="25"/>
    <w:uiPriority w:val="99"/>
    <w:unhideWhenUsed/>
    <w:rsid w:val="00755C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755CDD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755CDD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F4E14"/>
  </w:style>
  <w:style w:type="paragraph" w:customStyle="1" w:styleId="210">
    <w:name w:val="Заголовок 21"/>
    <w:basedOn w:val="a"/>
    <w:uiPriority w:val="1"/>
    <w:qFormat/>
    <w:rsid w:val="00C61B58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C61B58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96AF5"/>
    <w:rPr>
      <w:color w:val="808080"/>
    </w:rPr>
  </w:style>
  <w:style w:type="paragraph" w:customStyle="1" w:styleId="100">
    <w:name w:val="Д1 Текст Слева0"/>
    <w:basedOn w:val="a"/>
    <w:link w:val="101"/>
    <w:qFormat/>
    <w:rsid w:val="00D96A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D96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085F6C"/>
  </w:style>
  <w:style w:type="paragraph" w:customStyle="1" w:styleId="Bodytext">
    <w:name w:val="Bodytext"/>
    <w:next w:val="a"/>
    <w:rsid w:val="00BA2797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qFormat/>
    <w:rsid w:val="00BA2797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qFormat/>
    <w:rsid w:val="00BA279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A2797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A2797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6343D8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6343D8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495E5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495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5E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0A6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8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8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6F24C3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0817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0817D8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9314DF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9314DF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jpeg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3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4.wmf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microsoft.com/office/2007/relationships/hdphoto" Target="media/hdphoto2.wdp"/><Relationship Id="rId48" Type="http://schemas.openxmlformats.org/officeDocument/2006/relationships/image" Target="media/image20.wmf"/><Relationship Id="rId64" Type="http://schemas.openxmlformats.org/officeDocument/2006/relationships/oleObject" Target="embeddings/oleObject29.bin"/><Relationship Id="rId69" Type="http://schemas.openxmlformats.org/officeDocument/2006/relationships/image" Target="media/image29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image" Target="media/image28.wmf"/><Relationship Id="rId20" Type="http://schemas.openxmlformats.org/officeDocument/2006/relationships/image" Target="media/image7.wmf"/><Relationship Id="rId41" Type="http://schemas.microsoft.com/office/2007/relationships/hdphoto" Target="media/hdphoto1.wdp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2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4.bin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2.bin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7.wmf"/><Relationship Id="rId94" Type="http://schemas.openxmlformats.org/officeDocument/2006/relationships/image" Target="media/image40.wmf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image" Target="media/image3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6.jpeg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5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6.bin"/><Relationship Id="rId100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9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A053-D881-4340-9BE3-FE0592F5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2815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261</cp:revision>
  <cp:lastPrinted>2024-05-14T13:43:00Z</cp:lastPrinted>
  <dcterms:created xsi:type="dcterms:W3CDTF">2024-01-22T10:40:00Z</dcterms:created>
  <dcterms:modified xsi:type="dcterms:W3CDTF">2026-01-16T14:04:00Z</dcterms:modified>
</cp:coreProperties>
</file>