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F6C" w:rsidRPr="00294235" w:rsidRDefault="00085F6C" w:rsidP="00333948">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621.6:62-621</w:t>
      </w:r>
    </w:p>
    <w:p w:rsidR="00F55EF3" w:rsidRPr="00294235" w:rsidRDefault="00F55EF3" w:rsidP="00333948">
      <w:pPr>
        <w:spacing w:after="0" w:line="240" w:lineRule="auto"/>
        <w:jc w:val="center"/>
        <w:rPr>
          <w:rFonts w:ascii="Times New Roman" w:eastAsia="Calibri" w:hAnsi="Times New Roman" w:cs="Times New Roman"/>
          <w:b/>
          <w:color w:val="000000" w:themeColor="text1"/>
          <w:sz w:val="24"/>
          <w:szCs w:val="24"/>
        </w:rPr>
      </w:pPr>
    </w:p>
    <w:p w:rsidR="00085F6C" w:rsidRPr="00294235" w:rsidRDefault="00085F6C" w:rsidP="00333948">
      <w:pPr>
        <w:spacing w:after="0" w:line="240" w:lineRule="auto"/>
        <w:jc w:val="center"/>
        <w:rPr>
          <w:rFonts w:ascii="Times New Roman" w:eastAsia="Calibri" w:hAnsi="Times New Roman" w:cs="Times New Roman"/>
          <w:b/>
          <w:color w:val="000000" w:themeColor="text1"/>
          <w:sz w:val="24"/>
          <w:szCs w:val="24"/>
        </w:rPr>
      </w:pPr>
      <w:r w:rsidRPr="00294235">
        <w:rPr>
          <w:rFonts w:ascii="Times New Roman" w:eastAsia="Calibri" w:hAnsi="Times New Roman" w:cs="Times New Roman"/>
          <w:b/>
          <w:color w:val="000000" w:themeColor="text1"/>
          <w:sz w:val="24"/>
          <w:szCs w:val="24"/>
        </w:rPr>
        <w:t>ИЗМЕНЕНИЕ ВМЕСТИМОСТИ КОМПОЗИТНЫХ БАЛЛОНОВ</w:t>
      </w:r>
      <w:r w:rsidR="00B04F4A" w:rsidRPr="00294235">
        <w:rPr>
          <w:rFonts w:ascii="Times New Roman" w:eastAsia="Calibri" w:hAnsi="Times New Roman" w:cs="Times New Roman"/>
          <w:b/>
          <w:color w:val="000000" w:themeColor="text1"/>
          <w:sz w:val="24"/>
          <w:szCs w:val="24"/>
        </w:rPr>
        <w:br/>
      </w:r>
      <w:r w:rsidRPr="00294235">
        <w:rPr>
          <w:rFonts w:ascii="Times New Roman" w:eastAsia="Calibri" w:hAnsi="Times New Roman" w:cs="Times New Roman"/>
          <w:b/>
          <w:color w:val="000000" w:themeColor="text1"/>
          <w:sz w:val="24"/>
          <w:szCs w:val="24"/>
        </w:rPr>
        <w:t xml:space="preserve">С УЧЕТОМ СЕЗОНА ЭКСПЛУАТАЦИИ И СОСТАВА ГАЗОВ </w:t>
      </w:r>
      <w:r w:rsidR="00B04F4A" w:rsidRPr="00294235">
        <w:rPr>
          <w:rFonts w:ascii="Times New Roman" w:eastAsia="Calibri" w:hAnsi="Times New Roman" w:cs="Times New Roman"/>
          <w:b/>
          <w:color w:val="000000" w:themeColor="text1"/>
          <w:sz w:val="24"/>
          <w:szCs w:val="24"/>
        </w:rPr>
        <w:br/>
      </w:r>
      <w:r w:rsidRPr="00294235">
        <w:rPr>
          <w:rFonts w:ascii="Times New Roman" w:eastAsia="Calibri" w:hAnsi="Times New Roman" w:cs="Times New Roman"/>
          <w:b/>
          <w:color w:val="000000" w:themeColor="text1"/>
          <w:sz w:val="24"/>
          <w:szCs w:val="24"/>
        </w:rPr>
        <w:t>ДЛЯ КОММУНАЛЬНО-БЫТОВОГО ПОТРЕБЛЕНИЯ</w:t>
      </w:r>
    </w:p>
    <w:p w:rsidR="00085F6C" w:rsidRPr="00294235" w:rsidRDefault="00085F6C" w:rsidP="00333948">
      <w:pPr>
        <w:spacing w:after="0" w:line="240" w:lineRule="auto"/>
        <w:jc w:val="center"/>
        <w:rPr>
          <w:rFonts w:ascii="Times New Roman" w:eastAsia="Calibri" w:hAnsi="Times New Roman" w:cs="Times New Roman"/>
          <w:b/>
          <w:color w:val="000000" w:themeColor="text1"/>
          <w:sz w:val="24"/>
          <w:szCs w:val="24"/>
        </w:rPr>
      </w:pPr>
    </w:p>
    <w:p w:rsidR="00085F6C" w:rsidRPr="00294235" w:rsidRDefault="00A10D63" w:rsidP="00333948">
      <w:pPr>
        <w:spacing w:after="0" w:line="240" w:lineRule="auto"/>
        <w:jc w:val="center"/>
        <w:rPr>
          <w:rFonts w:ascii="Times New Roman" w:eastAsia="Calibri" w:hAnsi="Times New Roman" w:cs="Times New Roman"/>
          <w:b/>
          <w:color w:val="000000" w:themeColor="text1"/>
          <w:sz w:val="24"/>
          <w:szCs w:val="24"/>
        </w:rPr>
      </w:pPr>
      <w:r w:rsidRPr="00294235">
        <w:rPr>
          <w:rFonts w:ascii="Times New Roman" w:eastAsia="Calibri" w:hAnsi="Times New Roman" w:cs="Times New Roman"/>
          <w:b/>
          <w:color w:val="000000" w:themeColor="text1"/>
          <w:sz w:val="24"/>
          <w:szCs w:val="24"/>
        </w:rPr>
        <w:t xml:space="preserve">Н.Н. </w:t>
      </w:r>
      <w:r w:rsidR="00085F6C" w:rsidRPr="00294235">
        <w:rPr>
          <w:rFonts w:ascii="Times New Roman" w:eastAsia="Calibri" w:hAnsi="Times New Roman" w:cs="Times New Roman"/>
          <w:b/>
          <w:color w:val="000000" w:themeColor="text1"/>
          <w:sz w:val="24"/>
          <w:szCs w:val="24"/>
        </w:rPr>
        <w:t xml:space="preserve">Осипова, </w:t>
      </w:r>
      <w:r w:rsidRPr="00294235">
        <w:rPr>
          <w:rFonts w:ascii="Times New Roman" w:eastAsia="Calibri" w:hAnsi="Times New Roman" w:cs="Times New Roman"/>
          <w:b/>
          <w:color w:val="000000" w:themeColor="text1"/>
          <w:sz w:val="24"/>
          <w:szCs w:val="24"/>
        </w:rPr>
        <w:t>Д.С. Яковлев</w:t>
      </w:r>
    </w:p>
    <w:p w:rsidR="00085F6C" w:rsidRPr="00294235" w:rsidRDefault="00085F6C" w:rsidP="00333948">
      <w:pPr>
        <w:spacing w:after="0" w:line="240" w:lineRule="auto"/>
        <w:jc w:val="center"/>
        <w:rPr>
          <w:rFonts w:ascii="Times New Roman" w:hAnsi="Times New Roman" w:cs="Times New Roman"/>
          <w:bCs/>
          <w:i/>
          <w:iCs/>
          <w:color w:val="000000" w:themeColor="text1"/>
          <w:sz w:val="24"/>
        </w:rPr>
      </w:pPr>
      <w:r w:rsidRPr="00294235">
        <w:rPr>
          <w:rFonts w:ascii="Times New Roman" w:hAnsi="Times New Roman" w:cs="Times New Roman"/>
          <w:bCs/>
          <w:i/>
          <w:iCs/>
          <w:color w:val="000000" w:themeColor="text1"/>
          <w:sz w:val="24"/>
        </w:rPr>
        <w:t>Саратовский государственный технический университет имени Гагарина Ю.А.</w:t>
      </w:r>
    </w:p>
    <w:p w:rsidR="00085F6C" w:rsidRPr="00294235" w:rsidRDefault="00085F6C" w:rsidP="00333948">
      <w:pPr>
        <w:spacing w:after="0" w:line="240" w:lineRule="auto"/>
        <w:jc w:val="center"/>
        <w:rPr>
          <w:rFonts w:ascii="Times New Roman" w:eastAsia="Calibri" w:hAnsi="Times New Roman" w:cs="Times New Roman"/>
          <w:b/>
          <w:bCs/>
          <w:i/>
          <w:iCs/>
          <w:color w:val="000000" w:themeColor="text1"/>
        </w:rPr>
      </w:pPr>
    </w:p>
    <w:p w:rsidR="00085F6C" w:rsidRPr="00294235" w:rsidRDefault="00A10D63" w:rsidP="00A10D63">
      <w:pPr>
        <w:spacing w:after="0" w:line="240" w:lineRule="auto"/>
        <w:ind w:firstLine="709"/>
        <w:jc w:val="both"/>
        <w:rPr>
          <w:rFonts w:ascii="Times New Roman" w:eastAsia="Calibri" w:hAnsi="Times New Roman" w:cs="Times New Roman"/>
          <w:i/>
          <w:color w:val="000000" w:themeColor="text1"/>
          <w:spacing w:val="-4"/>
          <w:szCs w:val="20"/>
        </w:rPr>
      </w:pPr>
      <w:r w:rsidRPr="00294235">
        <w:rPr>
          <w:rFonts w:ascii="Times New Roman" w:eastAsia="Calibri" w:hAnsi="Times New Roman" w:cs="Times New Roman"/>
          <w:b/>
          <w:i/>
          <w:color w:val="000000" w:themeColor="text1"/>
          <w:spacing w:val="-4"/>
          <w:szCs w:val="20"/>
        </w:rPr>
        <w:t>Аннотация.</w:t>
      </w:r>
      <w:r w:rsidRPr="00294235">
        <w:rPr>
          <w:rFonts w:ascii="Times New Roman" w:eastAsia="Calibri" w:hAnsi="Times New Roman" w:cs="Times New Roman"/>
          <w:i/>
          <w:color w:val="000000" w:themeColor="text1"/>
          <w:spacing w:val="-4"/>
          <w:szCs w:val="20"/>
        </w:rPr>
        <w:t xml:space="preserve"> </w:t>
      </w:r>
      <w:r w:rsidR="00085F6C" w:rsidRPr="00294235">
        <w:rPr>
          <w:rFonts w:ascii="Times New Roman" w:eastAsia="Calibri" w:hAnsi="Times New Roman" w:cs="Times New Roman"/>
          <w:i/>
          <w:color w:val="000000" w:themeColor="text1"/>
          <w:spacing w:val="-4"/>
          <w:szCs w:val="20"/>
        </w:rPr>
        <w:t>Рассмотрены особенности заполнения композитных баллонов при различном компонентном составе сжиженного углеводородного газа, установлены критерии, обеспечивающие достоверность заполнения баллонов, получены коэффициенты заполнения баллонов по массе, определена продолжительность использования баллонов для целей пищеприготовления.</w:t>
      </w:r>
    </w:p>
    <w:p w:rsidR="00085F6C" w:rsidRPr="00294235" w:rsidRDefault="00085F6C" w:rsidP="00A10D63">
      <w:pPr>
        <w:spacing w:after="0" w:line="240" w:lineRule="auto"/>
        <w:ind w:firstLine="709"/>
        <w:jc w:val="both"/>
        <w:rPr>
          <w:rFonts w:ascii="Times New Roman" w:eastAsia="Calibri" w:hAnsi="Times New Roman" w:cs="Times New Roman"/>
          <w:i/>
          <w:color w:val="000000" w:themeColor="text1"/>
          <w:szCs w:val="20"/>
        </w:rPr>
      </w:pPr>
      <w:r w:rsidRPr="00294235">
        <w:rPr>
          <w:rFonts w:ascii="Times New Roman" w:eastAsia="Calibri" w:hAnsi="Times New Roman" w:cs="Times New Roman"/>
          <w:b/>
          <w:i/>
          <w:color w:val="000000" w:themeColor="text1"/>
          <w:szCs w:val="20"/>
        </w:rPr>
        <w:t>Ключевые слова:</w:t>
      </w:r>
      <w:r w:rsidRPr="00294235">
        <w:rPr>
          <w:rFonts w:ascii="Times New Roman" w:eastAsia="Calibri" w:hAnsi="Times New Roman" w:cs="Times New Roman"/>
          <w:i/>
          <w:color w:val="000000" w:themeColor="text1"/>
          <w:szCs w:val="20"/>
        </w:rPr>
        <w:t xml:space="preserve"> сжиженный углеводородный газ, композитный баллон, уровень заполнения, масса заполнения, период эксплуатации</w:t>
      </w:r>
    </w:p>
    <w:p w:rsidR="00085F6C" w:rsidRPr="00294235" w:rsidRDefault="00085F6C" w:rsidP="00A10D63">
      <w:pPr>
        <w:spacing w:after="0" w:line="240" w:lineRule="auto"/>
        <w:jc w:val="center"/>
        <w:rPr>
          <w:rFonts w:ascii="Times New Roman" w:eastAsia="Calibri" w:hAnsi="Times New Roman" w:cs="Times New Roman"/>
          <w:i/>
          <w:color w:val="000000" w:themeColor="text1"/>
          <w:sz w:val="28"/>
          <w:szCs w:val="24"/>
        </w:rPr>
      </w:pPr>
    </w:p>
    <w:p w:rsidR="00085F6C" w:rsidRPr="00294235" w:rsidRDefault="00085F6C" w:rsidP="00A10D63">
      <w:pPr>
        <w:spacing w:after="0" w:line="240" w:lineRule="auto"/>
        <w:jc w:val="center"/>
        <w:rPr>
          <w:rStyle w:val="tlid-translation"/>
          <w:rFonts w:ascii="Times New Roman" w:hAnsi="Times New Roman" w:cs="Times New Roman"/>
          <w:b/>
          <w:bCs/>
          <w:color w:val="000000" w:themeColor="text1"/>
          <w:sz w:val="24"/>
          <w:szCs w:val="24"/>
          <w:lang w:val="en-US"/>
        </w:rPr>
      </w:pPr>
      <w:r w:rsidRPr="00294235">
        <w:rPr>
          <w:rStyle w:val="tlid-translation"/>
          <w:rFonts w:ascii="Times New Roman" w:hAnsi="Times New Roman" w:cs="Times New Roman"/>
          <w:b/>
          <w:bCs/>
          <w:color w:val="000000" w:themeColor="text1"/>
          <w:sz w:val="24"/>
          <w:szCs w:val="24"/>
          <w:lang w:val="en-US"/>
        </w:rPr>
        <w:t xml:space="preserve">CHANGES IN THE CAPACITY OF COMPOSITE CYLINDERS </w:t>
      </w:r>
      <w:r w:rsidR="00A10D63" w:rsidRPr="00294235">
        <w:rPr>
          <w:rStyle w:val="tlid-translation"/>
          <w:rFonts w:ascii="Times New Roman" w:hAnsi="Times New Roman" w:cs="Times New Roman"/>
          <w:b/>
          <w:bCs/>
          <w:color w:val="000000" w:themeColor="text1"/>
          <w:sz w:val="24"/>
          <w:szCs w:val="24"/>
          <w:lang w:val="en-US"/>
        </w:rPr>
        <w:br/>
      </w:r>
      <w:r w:rsidRPr="00294235">
        <w:rPr>
          <w:rStyle w:val="tlid-translation"/>
          <w:rFonts w:ascii="Times New Roman" w:hAnsi="Times New Roman" w:cs="Times New Roman"/>
          <w:b/>
          <w:bCs/>
          <w:color w:val="000000" w:themeColor="text1"/>
          <w:sz w:val="24"/>
          <w:szCs w:val="24"/>
          <w:lang w:val="en-US"/>
        </w:rPr>
        <w:t xml:space="preserve">TAKEN INTO ACCOUNT OF THE SEASON OF OPERATION </w:t>
      </w:r>
      <w:r w:rsidR="00A10D63" w:rsidRPr="00294235">
        <w:rPr>
          <w:rStyle w:val="tlid-translation"/>
          <w:rFonts w:ascii="Times New Roman" w:hAnsi="Times New Roman" w:cs="Times New Roman"/>
          <w:b/>
          <w:bCs/>
          <w:color w:val="000000" w:themeColor="text1"/>
          <w:sz w:val="24"/>
          <w:szCs w:val="24"/>
          <w:lang w:val="en-US"/>
        </w:rPr>
        <w:br/>
      </w:r>
      <w:r w:rsidRPr="00294235">
        <w:rPr>
          <w:rStyle w:val="tlid-translation"/>
          <w:rFonts w:ascii="Times New Roman" w:hAnsi="Times New Roman" w:cs="Times New Roman"/>
          <w:b/>
          <w:bCs/>
          <w:color w:val="000000" w:themeColor="text1"/>
          <w:sz w:val="24"/>
          <w:szCs w:val="24"/>
          <w:lang w:val="en-US"/>
        </w:rPr>
        <w:t>AND COMPOSITION OF GASES FOR MUNICIPAL CONSUMPTION</w:t>
      </w:r>
    </w:p>
    <w:p w:rsidR="00085F6C" w:rsidRPr="00294235" w:rsidRDefault="00085F6C" w:rsidP="00A10D63">
      <w:pPr>
        <w:spacing w:after="0" w:line="240" w:lineRule="auto"/>
        <w:jc w:val="center"/>
        <w:rPr>
          <w:rStyle w:val="tlid-translation"/>
          <w:rFonts w:ascii="Times New Roman" w:hAnsi="Times New Roman" w:cs="Times New Roman"/>
          <w:b/>
          <w:bCs/>
          <w:color w:val="000000" w:themeColor="text1"/>
          <w:sz w:val="24"/>
          <w:szCs w:val="24"/>
          <w:lang w:val="en-US"/>
        </w:rPr>
      </w:pPr>
    </w:p>
    <w:p w:rsidR="00085F6C" w:rsidRPr="00294235" w:rsidRDefault="00A10D63" w:rsidP="00A10D63">
      <w:pPr>
        <w:spacing w:after="0" w:line="240" w:lineRule="auto"/>
        <w:jc w:val="center"/>
        <w:rPr>
          <w:rStyle w:val="tlid-translation"/>
          <w:rFonts w:ascii="Times New Roman" w:hAnsi="Times New Roman" w:cs="Times New Roman"/>
          <w:b/>
          <w:color w:val="000000" w:themeColor="text1"/>
          <w:sz w:val="24"/>
          <w:szCs w:val="24"/>
          <w:lang w:val="en-US"/>
        </w:rPr>
      </w:pPr>
      <w:r w:rsidRPr="00294235">
        <w:rPr>
          <w:rStyle w:val="tlid-translation"/>
          <w:rFonts w:ascii="Times New Roman" w:hAnsi="Times New Roman" w:cs="Times New Roman"/>
          <w:b/>
          <w:color w:val="000000" w:themeColor="text1"/>
          <w:sz w:val="24"/>
          <w:szCs w:val="24"/>
          <w:lang w:val="en-US"/>
        </w:rPr>
        <w:t xml:space="preserve">N.N. </w:t>
      </w:r>
      <w:r w:rsidR="00085F6C" w:rsidRPr="00294235">
        <w:rPr>
          <w:rStyle w:val="tlid-translation"/>
          <w:rFonts w:ascii="Times New Roman" w:hAnsi="Times New Roman" w:cs="Times New Roman"/>
          <w:b/>
          <w:color w:val="000000" w:themeColor="text1"/>
          <w:sz w:val="24"/>
          <w:szCs w:val="24"/>
          <w:lang w:val="en-US"/>
        </w:rPr>
        <w:t xml:space="preserve">Osipova, </w:t>
      </w:r>
      <w:r w:rsidRPr="00294235">
        <w:rPr>
          <w:rStyle w:val="tlid-translation"/>
          <w:rFonts w:ascii="Times New Roman" w:hAnsi="Times New Roman" w:cs="Times New Roman"/>
          <w:b/>
          <w:color w:val="000000" w:themeColor="text1"/>
          <w:sz w:val="24"/>
          <w:szCs w:val="24"/>
          <w:lang w:val="en-US"/>
        </w:rPr>
        <w:t>D.S. Yakovlev</w:t>
      </w:r>
    </w:p>
    <w:p w:rsidR="00085F6C" w:rsidRPr="00294235" w:rsidRDefault="00085F6C" w:rsidP="00A10D63">
      <w:pPr>
        <w:spacing w:after="0" w:line="240" w:lineRule="auto"/>
        <w:jc w:val="center"/>
        <w:rPr>
          <w:rFonts w:ascii="Times New Roman" w:hAnsi="Times New Roman" w:cs="Times New Roman"/>
          <w:color w:val="000000" w:themeColor="text1"/>
          <w:sz w:val="24"/>
          <w:szCs w:val="24"/>
          <w:lang w:val="en-US"/>
        </w:rPr>
      </w:pPr>
      <w:r w:rsidRPr="00294235">
        <w:rPr>
          <w:rFonts w:ascii="Times New Roman" w:eastAsia="Calibri" w:hAnsi="Times New Roman" w:cs="Times New Roman"/>
          <w:i/>
          <w:color w:val="000000" w:themeColor="text1"/>
          <w:sz w:val="24"/>
          <w:szCs w:val="24"/>
          <w:lang w:val="en-US"/>
        </w:rPr>
        <w:t>Yur</w:t>
      </w:r>
      <w:r w:rsidR="00B04F4A" w:rsidRPr="00294235">
        <w:rPr>
          <w:rFonts w:ascii="Times New Roman" w:eastAsia="Calibri" w:hAnsi="Times New Roman" w:cs="Times New Roman"/>
          <w:i/>
          <w:color w:val="000000" w:themeColor="text1"/>
          <w:sz w:val="24"/>
          <w:szCs w:val="24"/>
          <w:lang w:val="en-US"/>
        </w:rPr>
        <w:t>i</w:t>
      </w:r>
      <w:r w:rsidRPr="00294235">
        <w:rPr>
          <w:rFonts w:ascii="Times New Roman" w:eastAsia="Calibri" w:hAnsi="Times New Roman" w:cs="Times New Roman"/>
          <w:i/>
          <w:color w:val="000000" w:themeColor="text1"/>
          <w:sz w:val="24"/>
          <w:szCs w:val="24"/>
          <w:lang w:val="en-US"/>
        </w:rPr>
        <w:t xml:space="preserve"> Gagarin</w:t>
      </w:r>
      <w:r w:rsidRPr="00294235">
        <w:rPr>
          <w:rFonts w:ascii="Times New Roman" w:eastAsia="Calibri" w:hAnsi="Times New Roman" w:cs="Times New Roman"/>
          <w:color w:val="000000" w:themeColor="text1"/>
          <w:sz w:val="24"/>
          <w:szCs w:val="24"/>
          <w:vertAlign w:val="superscript"/>
          <w:lang w:val="en-US"/>
        </w:rPr>
        <w:t xml:space="preserve"> </w:t>
      </w:r>
      <w:r w:rsidRPr="00294235">
        <w:rPr>
          <w:rFonts w:ascii="Times New Roman" w:eastAsia="Calibri" w:hAnsi="Times New Roman" w:cs="Times New Roman"/>
          <w:i/>
          <w:color w:val="000000" w:themeColor="text1"/>
          <w:sz w:val="24"/>
          <w:szCs w:val="24"/>
          <w:lang w:val="en-US"/>
        </w:rPr>
        <w:t>Saratov State Technical University</w:t>
      </w:r>
    </w:p>
    <w:p w:rsidR="00085F6C" w:rsidRPr="00294235" w:rsidRDefault="00085F6C" w:rsidP="00A10D63">
      <w:pPr>
        <w:spacing w:after="0" w:line="240" w:lineRule="auto"/>
        <w:jc w:val="center"/>
        <w:rPr>
          <w:rFonts w:ascii="Times New Roman" w:eastAsia="Calibri" w:hAnsi="Times New Roman" w:cs="Times New Roman"/>
          <w:i/>
          <w:color w:val="000000" w:themeColor="text1"/>
          <w:sz w:val="28"/>
          <w:szCs w:val="28"/>
          <w:lang w:val="en-US"/>
        </w:rPr>
      </w:pPr>
    </w:p>
    <w:p w:rsidR="00085F6C" w:rsidRPr="00294235" w:rsidRDefault="00A10D63" w:rsidP="00A10D63">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Abstract.</w:t>
      </w:r>
      <w:r w:rsidRPr="00294235">
        <w:rPr>
          <w:rFonts w:ascii="Times New Roman" w:hAnsi="Times New Roman" w:cs="Times New Roman"/>
          <w:i/>
          <w:color w:val="000000" w:themeColor="text1"/>
          <w:szCs w:val="20"/>
          <w:lang w:val="en-US"/>
        </w:rPr>
        <w:t xml:space="preserve"> </w:t>
      </w:r>
      <w:r w:rsidR="00085F6C" w:rsidRPr="00294235">
        <w:rPr>
          <w:rFonts w:ascii="Times New Roman" w:hAnsi="Times New Roman" w:cs="Times New Roman"/>
          <w:i/>
          <w:color w:val="000000" w:themeColor="text1"/>
          <w:szCs w:val="20"/>
          <w:lang w:val="en-US"/>
        </w:rPr>
        <w:t>The features of filling composite cylinders with different component compositions of liquefied hydrocarbon gas are considered, criteria are established to ensure the reliability of filling cylinders, cylinder filling coefficients by weight are obtained, and the duration of use of cylinders for food preparation purposes is determined.</w:t>
      </w:r>
    </w:p>
    <w:p w:rsidR="00085F6C" w:rsidRPr="00294235" w:rsidRDefault="00085F6C" w:rsidP="00A10D63">
      <w:pPr>
        <w:spacing w:after="0" w:line="240" w:lineRule="auto"/>
        <w:ind w:firstLine="709"/>
        <w:jc w:val="both"/>
        <w:rPr>
          <w:rFonts w:ascii="Times New Roman" w:hAnsi="Times New Roman" w:cs="Times New Roman"/>
          <w:i/>
          <w:color w:val="000000" w:themeColor="text1"/>
          <w:szCs w:val="20"/>
          <w:lang w:val="en-US"/>
        </w:rPr>
      </w:pPr>
      <w:r w:rsidRPr="00294235">
        <w:rPr>
          <w:rFonts w:ascii="Times New Roman" w:hAnsi="Times New Roman" w:cs="Times New Roman"/>
          <w:b/>
          <w:i/>
          <w:color w:val="000000" w:themeColor="text1"/>
          <w:szCs w:val="20"/>
          <w:lang w:val="en-US"/>
        </w:rPr>
        <w:t>Keywords:</w:t>
      </w:r>
      <w:r w:rsidRPr="00294235">
        <w:rPr>
          <w:rFonts w:ascii="Times New Roman" w:hAnsi="Times New Roman" w:cs="Times New Roman"/>
          <w:i/>
          <w:color w:val="000000" w:themeColor="text1"/>
          <w:szCs w:val="20"/>
          <w:lang w:val="en-US"/>
        </w:rPr>
        <w:t xml:space="preserve"> liquefied petroleum gas, composite cylinder, filling level, filling mass, service life</w:t>
      </w:r>
    </w:p>
    <w:p w:rsidR="00085F6C" w:rsidRPr="00294235" w:rsidRDefault="00085F6C" w:rsidP="00A10D63">
      <w:pPr>
        <w:spacing w:after="0" w:line="240" w:lineRule="auto"/>
        <w:ind w:firstLine="709"/>
        <w:rPr>
          <w:rFonts w:ascii="Times New Roman" w:eastAsia="Calibri" w:hAnsi="Times New Roman" w:cs="Times New Roman"/>
          <w:i/>
          <w:iCs/>
          <w:color w:val="000000" w:themeColor="text1"/>
          <w:szCs w:val="20"/>
          <w:lang w:val="en-US"/>
        </w:rPr>
      </w:pPr>
    </w:p>
    <w:p w:rsidR="00085F6C" w:rsidRPr="00294235" w:rsidRDefault="00085F6C" w:rsidP="00A10D63">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Сжиженные углеводородные газы в жидком виде имеют значительный коэффициент объемного расширения, что способствует изменению объема жидкости в сосуде при колебаниях температуры окружающей среды [1]. Нагрев сосудов приводит к расширению объема жидкости и при заполнении сосуда полностью происходит сброс части газа через предохранительные устройства. В связи с этим доводить заполнение до полного объема сосудов сжи</w:t>
      </w:r>
      <w:r w:rsidR="00865788" w:rsidRPr="00294235">
        <w:rPr>
          <w:rFonts w:ascii="Times New Roman" w:hAnsi="Times New Roman" w:cs="Times New Roman"/>
          <w:color w:val="000000" w:themeColor="text1"/>
          <w:sz w:val="24"/>
        </w:rPr>
        <w:t>женным газом не рекомендуется.</w:t>
      </w:r>
    </w:p>
    <w:p w:rsidR="00085F6C" w:rsidRPr="00294235" w:rsidRDefault="00085F6C" w:rsidP="00A10D63">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Для исключения сброса сжиженного газа из сосуда и предотвращения возможного разрыва оболочки сосуда установлена предельная температура возможного нагрева композитных баллонов, устанавливаемых наземно</w:t>
      </w:r>
      <w:r w:rsidR="00865788"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открытым способом, которая составляет +65</w:t>
      </w:r>
      <w:r w:rsidR="00865788" w:rsidRPr="00294235">
        <w:rPr>
          <w:rFonts w:ascii="Times New Roman" w:hAnsi="Times New Roman" w:cs="Times New Roman"/>
          <w:color w:val="000000" w:themeColor="text1"/>
          <w:sz w:val="24"/>
        </w:rPr>
        <w:t>°</w:t>
      </w:r>
      <w:r w:rsidR="00865788" w:rsidRPr="00294235">
        <w:rPr>
          <w:rFonts w:ascii="Times New Roman" w:hAnsi="Times New Roman" w:cs="Times New Roman"/>
          <w:color w:val="000000" w:themeColor="text1"/>
          <w:sz w:val="24"/>
          <w:lang w:val="en-US"/>
        </w:rPr>
        <w:t> </w:t>
      </w:r>
      <w:r w:rsidRPr="00294235">
        <w:rPr>
          <w:rFonts w:ascii="Times New Roman" w:hAnsi="Times New Roman" w:cs="Times New Roman"/>
          <w:color w:val="000000" w:themeColor="text1"/>
          <w:sz w:val="24"/>
        </w:rPr>
        <w:t>С, что соответствует максимальному объемному расширению жидкости и формировани</w:t>
      </w:r>
      <w:r w:rsidR="006070DA" w:rsidRPr="00294235">
        <w:rPr>
          <w:rFonts w:ascii="Times New Roman" w:hAnsi="Times New Roman" w:cs="Times New Roman"/>
          <w:color w:val="000000" w:themeColor="text1"/>
          <w:sz w:val="24"/>
        </w:rPr>
        <w:t>ю</w:t>
      </w:r>
      <w:r w:rsidRPr="00294235">
        <w:rPr>
          <w:rFonts w:ascii="Times New Roman" w:hAnsi="Times New Roman" w:cs="Times New Roman"/>
          <w:color w:val="000000" w:themeColor="text1"/>
          <w:sz w:val="24"/>
        </w:rPr>
        <w:t xml:space="preserve"> давления в паровом прос</w:t>
      </w:r>
      <w:r w:rsidR="00865788" w:rsidRPr="00294235">
        <w:rPr>
          <w:rFonts w:ascii="Times New Roman" w:hAnsi="Times New Roman" w:cs="Times New Roman"/>
          <w:color w:val="000000" w:themeColor="text1"/>
          <w:sz w:val="24"/>
        </w:rPr>
        <w:t>транстве до 1,6 МПа [1, 2].</w:t>
      </w:r>
    </w:p>
    <w:p w:rsidR="00085F6C" w:rsidRPr="00294235" w:rsidRDefault="00085F6C" w:rsidP="00A10D63">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В то же время рекомендуемый уровень заполнения сосудов 85</w:t>
      </w:r>
      <w:r w:rsidR="00865788" w:rsidRPr="00294235">
        <w:rPr>
          <w:rFonts w:ascii="Times New Roman" w:hAnsi="Times New Roman" w:cs="Times New Roman"/>
          <w:color w:val="000000" w:themeColor="text1"/>
          <w:sz w:val="24"/>
          <w:lang w:val="en-US"/>
        </w:rPr>
        <w:t> </w:t>
      </w:r>
      <w:r w:rsidRPr="00294235">
        <w:rPr>
          <w:rFonts w:ascii="Times New Roman" w:hAnsi="Times New Roman" w:cs="Times New Roman"/>
          <w:color w:val="000000" w:themeColor="text1"/>
          <w:sz w:val="24"/>
        </w:rPr>
        <w:t>%, являющийся единым для сжиженных углеводородных газов различного компонентного состава</w:t>
      </w:r>
      <w:r w:rsidR="00DB6244"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обусл</w:t>
      </w:r>
      <w:r w:rsidR="00DB6244" w:rsidRPr="00294235">
        <w:rPr>
          <w:rFonts w:ascii="Times New Roman" w:hAnsi="Times New Roman" w:cs="Times New Roman"/>
          <w:color w:val="000000" w:themeColor="text1"/>
          <w:sz w:val="24"/>
        </w:rPr>
        <w:t>о</w:t>
      </w:r>
      <w:r w:rsidRPr="00294235">
        <w:rPr>
          <w:rFonts w:ascii="Times New Roman" w:hAnsi="Times New Roman" w:cs="Times New Roman"/>
          <w:color w:val="000000" w:themeColor="text1"/>
          <w:sz w:val="24"/>
        </w:rPr>
        <w:t>вливает гарантированный недолив в сосуд сжиженного газа с пониженным содержанием пропана и повышенным содержанием бутана, т.</w:t>
      </w:r>
      <w:r w:rsidR="00865788" w:rsidRPr="00294235">
        <w:rPr>
          <w:rFonts w:ascii="Times New Roman" w:hAnsi="Times New Roman" w:cs="Times New Roman"/>
          <w:color w:val="000000" w:themeColor="text1"/>
          <w:sz w:val="24"/>
          <w:lang w:val="en-US"/>
        </w:rPr>
        <w:t> </w:t>
      </w:r>
      <w:r w:rsidRPr="00294235">
        <w:rPr>
          <w:rFonts w:ascii="Times New Roman" w:hAnsi="Times New Roman" w:cs="Times New Roman"/>
          <w:color w:val="000000" w:themeColor="text1"/>
          <w:sz w:val="24"/>
        </w:rPr>
        <w:t>к. пропан в составе смеси имеет больший коэффициент объемного расширения и формирует при прочих равных условиях большие давления по сравнению с компонентом бутан.</w:t>
      </w:r>
    </w:p>
    <w:p w:rsidR="00085F6C" w:rsidRPr="00294235" w:rsidRDefault="00085F6C" w:rsidP="00A10D63">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Степень заполнения баллона газом определится как отношение объемного расширения при реальной температуре к объемному расширению при критической температуре нагрева:</w:t>
      </w:r>
    </w:p>
    <w:p w:rsidR="00085F6C" w:rsidRPr="00294235" w:rsidRDefault="00F55EF3" w:rsidP="00F55EF3">
      <w:pPr>
        <w:pStyle w:val="19"/>
        <w:rPr>
          <w:color w:val="000000" w:themeColor="text1"/>
        </w:rPr>
      </w:pPr>
      <w:r w:rsidRPr="00294235">
        <w:rPr>
          <w:color w:val="000000" w:themeColor="text1"/>
        </w:rPr>
        <w:lastRenderedPageBreak/>
        <w:tab/>
      </w:r>
      <w:r w:rsidR="00085F6C" w:rsidRPr="00294235">
        <w:rPr>
          <w:color w:val="000000" w:themeColor="text1"/>
          <w:position w:val="-34"/>
        </w:rPr>
        <w:object w:dxaOrig="10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0.5pt" o:ole="">
            <v:imagedata r:id="rId8" o:title=""/>
          </v:shape>
          <o:OLEObject Type="Embed" ProgID="Equation.DSMT4" ShapeID="_x0000_i1025" DrawAspect="Content" ObjectID="_1830098907" r:id="rId9"/>
        </w:object>
      </w:r>
      <w:r w:rsidR="00085F6C" w:rsidRPr="00294235">
        <w:rPr>
          <w:color w:val="000000" w:themeColor="text1"/>
        </w:rPr>
        <w:t>,</w:t>
      </w:r>
      <w:r w:rsidRPr="00294235">
        <w:rPr>
          <w:color w:val="000000" w:themeColor="text1"/>
        </w:rPr>
        <w:tab/>
      </w:r>
      <w:r w:rsidR="00085F6C" w:rsidRPr="00294235">
        <w:rPr>
          <w:color w:val="000000" w:themeColor="text1"/>
        </w:rPr>
        <w:t>(1)</w:t>
      </w:r>
    </w:p>
    <w:p w:rsidR="00085F6C" w:rsidRPr="00294235" w:rsidRDefault="00085F6C" w:rsidP="00333948">
      <w:pPr>
        <w:spacing w:after="0" w:line="240" w:lineRule="auto"/>
        <w:jc w:val="both"/>
        <w:rPr>
          <w:rFonts w:ascii="Times New Roman" w:eastAsia="Calibri" w:hAnsi="Times New Roman" w:cs="Times New Roman"/>
          <w:color w:val="000000" w:themeColor="text1"/>
          <w:sz w:val="24"/>
        </w:rPr>
      </w:pPr>
      <w:r w:rsidRPr="00294235">
        <w:rPr>
          <w:rFonts w:ascii="Times New Roman" w:eastAsia="Calibri" w:hAnsi="Times New Roman" w:cs="Times New Roman"/>
          <w:color w:val="000000" w:themeColor="text1"/>
          <w:sz w:val="24"/>
        </w:rPr>
        <w:t xml:space="preserve">где </w:t>
      </w:r>
      <w:bookmarkStart w:id="0" w:name="MTBlankEqn"/>
      <w:r w:rsidRPr="00294235">
        <w:rPr>
          <w:rFonts w:ascii="Times New Roman" w:eastAsia="Calibri" w:hAnsi="Times New Roman" w:cs="Times New Roman"/>
          <w:color w:val="000000" w:themeColor="text1"/>
          <w:position w:val="-12"/>
          <w:sz w:val="24"/>
        </w:rPr>
        <w:object w:dxaOrig="360" w:dyaOrig="420">
          <v:shape id="_x0000_i1026" type="#_x0000_t75" style="width:21.75pt;height:21.75pt" o:ole="">
            <v:imagedata r:id="rId10" o:title=""/>
          </v:shape>
          <o:OLEObject Type="Embed" ProgID="Equation.DSMT4" ShapeID="_x0000_i1026" DrawAspect="Content" ObjectID="_1830098908" r:id="rId11"/>
        </w:object>
      </w:r>
      <w:bookmarkEnd w:id="0"/>
      <w:r w:rsidR="003F2337" w:rsidRPr="00294235">
        <w:rPr>
          <w:rFonts w:ascii="Times New Roman" w:eastAsia="Calibri" w:hAnsi="Times New Roman" w:cs="Times New Roman"/>
          <w:color w:val="000000" w:themeColor="text1"/>
          <w:sz w:val="24"/>
        </w:rPr>
        <w:t xml:space="preserve"> – </w:t>
      </w:r>
      <w:r w:rsidRPr="00294235">
        <w:rPr>
          <w:rFonts w:ascii="Times New Roman" w:eastAsia="Calibri" w:hAnsi="Times New Roman" w:cs="Times New Roman"/>
          <w:color w:val="000000" w:themeColor="text1"/>
          <w:sz w:val="24"/>
        </w:rPr>
        <w:t>удельный объем жидкости при реальной температуре в момент заполнения, м</w:t>
      </w:r>
      <w:r w:rsidRPr="00294235">
        <w:rPr>
          <w:rFonts w:ascii="Times New Roman" w:eastAsia="Calibri" w:hAnsi="Times New Roman" w:cs="Times New Roman"/>
          <w:color w:val="000000" w:themeColor="text1"/>
          <w:sz w:val="24"/>
          <w:vertAlign w:val="superscript"/>
        </w:rPr>
        <w:t>3</w:t>
      </w:r>
      <w:r w:rsidRPr="00294235">
        <w:rPr>
          <w:rFonts w:ascii="Times New Roman" w:eastAsia="Calibri" w:hAnsi="Times New Roman" w:cs="Times New Roman"/>
          <w:color w:val="000000" w:themeColor="text1"/>
          <w:sz w:val="24"/>
        </w:rPr>
        <w:t xml:space="preserve">/кг; </w:t>
      </w:r>
      <w:r w:rsidRPr="00294235">
        <w:rPr>
          <w:rFonts w:ascii="Times New Roman" w:eastAsia="Calibri" w:hAnsi="Times New Roman" w:cs="Times New Roman"/>
          <w:color w:val="000000" w:themeColor="text1"/>
          <w:position w:val="-12"/>
          <w:sz w:val="24"/>
        </w:rPr>
        <w:object w:dxaOrig="499" w:dyaOrig="420">
          <v:shape id="_x0000_i1027" type="#_x0000_t75" style="width:21.75pt;height:21.75pt" o:ole="">
            <v:imagedata r:id="rId12" o:title=""/>
          </v:shape>
          <o:OLEObject Type="Embed" ProgID="Equation.DSMT4" ShapeID="_x0000_i1027" DrawAspect="Content" ObjectID="_1830098909" r:id="rId13"/>
        </w:object>
      </w:r>
      <w:r w:rsidR="003F2337" w:rsidRPr="00294235">
        <w:rPr>
          <w:rFonts w:ascii="Times New Roman" w:eastAsia="Calibri" w:hAnsi="Times New Roman" w:cs="Times New Roman"/>
          <w:color w:val="000000" w:themeColor="text1"/>
          <w:sz w:val="24"/>
        </w:rPr>
        <w:t xml:space="preserve"> – </w:t>
      </w:r>
      <w:r w:rsidRPr="00294235">
        <w:rPr>
          <w:rFonts w:ascii="Times New Roman" w:eastAsia="Calibri" w:hAnsi="Times New Roman" w:cs="Times New Roman"/>
          <w:color w:val="000000" w:themeColor="text1"/>
          <w:sz w:val="24"/>
        </w:rPr>
        <w:t>удельный объем жидкости при максимальной температуре нагрева СУГ в</w:t>
      </w:r>
      <w:r w:rsidR="00865788" w:rsidRPr="00294235">
        <w:rPr>
          <w:rFonts w:ascii="Times New Roman" w:eastAsia="Calibri" w:hAnsi="Times New Roman" w:cs="Times New Roman"/>
          <w:color w:val="000000" w:themeColor="text1"/>
          <w:sz w:val="24"/>
          <w:lang w:val="en-US"/>
        </w:rPr>
        <w:t> </w:t>
      </w:r>
      <w:r w:rsidRPr="00294235">
        <w:rPr>
          <w:rFonts w:ascii="Times New Roman" w:eastAsia="Calibri" w:hAnsi="Times New Roman" w:cs="Times New Roman"/>
          <w:color w:val="000000" w:themeColor="text1"/>
          <w:sz w:val="24"/>
        </w:rPr>
        <w:t>наземном резервуаре, м</w:t>
      </w:r>
      <w:r w:rsidRPr="00294235">
        <w:rPr>
          <w:rFonts w:ascii="Times New Roman" w:eastAsia="Calibri" w:hAnsi="Times New Roman" w:cs="Times New Roman"/>
          <w:color w:val="000000" w:themeColor="text1"/>
          <w:sz w:val="24"/>
          <w:vertAlign w:val="superscript"/>
        </w:rPr>
        <w:t>3</w:t>
      </w:r>
      <w:r w:rsidRPr="00294235">
        <w:rPr>
          <w:rFonts w:ascii="Times New Roman" w:eastAsia="Calibri" w:hAnsi="Times New Roman" w:cs="Times New Roman"/>
          <w:color w:val="000000" w:themeColor="text1"/>
          <w:sz w:val="24"/>
        </w:rPr>
        <w:t>/кг.</w:t>
      </w:r>
    </w:p>
    <w:p w:rsidR="00085F6C" w:rsidRPr="00294235" w:rsidRDefault="00085F6C" w:rsidP="00865788">
      <w:pPr>
        <w:spacing w:after="0" w:line="240" w:lineRule="auto"/>
        <w:ind w:firstLine="709"/>
        <w:jc w:val="both"/>
        <w:rPr>
          <w:rFonts w:ascii="Times New Roman" w:eastAsia="Calibri" w:hAnsi="Times New Roman" w:cs="Times New Roman"/>
          <w:color w:val="000000" w:themeColor="text1"/>
          <w:spacing w:val="4"/>
          <w:sz w:val="24"/>
        </w:rPr>
      </w:pPr>
      <w:r w:rsidRPr="00294235">
        <w:rPr>
          <w:rFonts w:ascii="Times New Roman" w:eastAsia="Calibri" w:hAnsi="Times New Roman" w:cs="Times New Roman"/>
          <w:color w:val="000000" w:themeColor="text1"/>
          <w:spacing w:val="4"/>
          <w:sz w:val="24"/>
        </w:rPr>
        <w:t>Согласно ГОСТ Р 52087-2018, все марки сжиженного углеводородного газа состоят из пропана и бутана в различных количественных соотношениях, которые в</w:t>
      </w:r>
      <w:r w:rsidR="00865788" w:rsidRPr="00294235">
        <w:rPr>
          <w:rFonts w:ascii="Times New Roman" w:eastAsia="Calibri" w:hAnsi="Times New Roman" w:cs="Times New Roman"/>
          <w:color w:val="000000" w:themeColor="text1"/>
          <w:spacing w:val="4"/>
          <w:sz w:val="24"/>
          <w:lang w:val="en-US"/>
        </w:rPr>
        <w:t> </w:t>
      </w:r>
      <w:r w:rsidRPr="00294235">
        <w:rPr>
          <w:rFonts w:ascii="Times New Roman" w:eastAsia="Calibri" w:hAnsi="Times New Roman" w:cs="Times New Roman"/>
          <w:color w:val="000000" w:themeColor="text1"/>
          <w:spacing w:val="4"/>
          <w:sz w:val="24"/>
        </w:rPr>
        <w:t>соответствии с правилом аддитивности формируют удельный объем жидкой фазы в баллоне.</w:t>
      </w:r>
    </w:p>
    <w:p w:rsidR="00085F6C" w:rsidRPr="00294235" w:rsidRDefault="00085F6C" w:rsidP="00865788">
      <w:pPr>
        <w:spacing w:after="0" w:line="240" w:lineRule="auto"/>
        <w:ind w:firstLine="709"/>
        <w:jc w:val="both"/>
        <w:rPr>
          <w:rFonts w:ascii="Times New Roman" w:eastAsia="Calibri" w:hAnsi="Times New Roman" w:cs="Times New Roman"/>
          <w:color w:val="000000" w:themeColor="text1"/>
          <w:sz w:val="24"/>
        </w:rPr>
      </w:pPr>
      <w:r w:rsidRPr="00294235">
        <w:rPr>
          <w:rFonts w:ascii="Times New Roman" w:eastAsia="Calibri" w:hAnsi="Times New Roman" w:cs="Times New Roman"/>
          <w:color w:val="000000" w:themeColor="text1"/>
          <w:sz w:val="24"/>
        </w:rPr>
        <w:t>В этом случае удельный объем смеси жидкости пропан-бутана при любой температуре газа в баллоне определится по выражению</w:t>
      </w:r>
    </w:p>
    <w:p w:rsidR="00865788" w:rsidRPr="00294235" w:rsidRDefault="00865788" w:rsidP="00865788">
      <w:pPr>
        <w:pStyle w:val="19"/>
        <w:rPr>
          <w:color w:val="000000" w:themeColor="text1"/>
        </w:rPr>
      </w:pPr>
      <w:r w:rsidRPr="00294235">
        <w:rPr>
          <w:color w:val="000000" w:themeColor="text1"/>
        </w:rPr>
        <w:tab/>
      </w:r>
      <w:r w:rsidRPr="00294235">
        <w:rPr>
          <w:color w:val="000000" w:themeColor="text1"/>
          <w:position w:val="-14"/>
          <w:lang w:val="en-US"/>
        </w:rPr>
        <w:object w:dxaOrig="1719" w:dyaOrig="440">
          <v:shape id="_x0000_i1028" type="#_x0000_t75" style="width:86.25pt;height:21.75pt" o:ole="">
            <v:imagedata r:id="rId14" o:title=""/>
          </v:shape>
          <o:OLEObject Type="Embed" ProgID="Equation.3" ShapeID="_x0000_i1028" DrawAspect="Content" ObjectID="_1830098910" r:id="rId15"/>
        </w:object>
      </w:r>
      <w:r w:rsidRPr="00294235">
        <w:rPr>
          <w:color w:val="000000" w:themeColor="text1"/>
        </w:rPr>
        <w:t>,</w:t>
      </w:r>
      <w:r w:rsidRPr="00294235">
        <w:rPr>
          <w:color w:val="000000" w:themeColor="text1"/>
        </w:rPr>
        <w:tab/>
        <w:t>(2)</w:t>
      </w:r>
    </w:p>
    <w:p w:rsidR="00085F6C" w:rsidRPr="00294235" w:rsidRDefault="00085F6C" w:rsidP="00333948">
      <w:pPr>
        <w:spacing w:after="0" w:line="240" w:lineRule="auto"/>
        <w:jc w:val="both"/>
        <w:rPr>
          <w:rFonts w:ascii="Times New Roman" w:eastAsia="Calibri" w:hAnsi="Times New Roman" w:cs="Times New Roman"/>
          <w:color w:val="000000" w:themeColor="text1"/>
          <w:sz w:val="24"/>
        </w:rPr>
      </w:pPr>
      <w:r w:rsidRPr="00294235">
        <w:rPr>
          <w:rFonts w:ascii="Times New Roman" w:hAnsi="Times New Roman" w:cs="Times New Roman"/>
          <w:color w:val="000000" w:themeColor="text1"/>
          <w:sz w:val="24"/>
        </w:rPr>
        <w:t>где</w:t>
      </w:r>
      <w:r w:rsidRPr="00294235">
        <w:rPr>
          <w:rFonts w:ascii="Times New Roman" w:hAnsi="Times New Roman" w:cs="Times New Roman"/>
          <w:b/>
          <w:color w:val="000000" w:themeColor="text1"/>
          <w:sz w:val="24"/>
        </w:rPr>
        <w:t xml:space="preserve"> </w:t>
      </w:r>
      <w:r w:rsidRPr="00294235">
        <w:rPr>
          <w:rFonts w:ascii="Times New Roman" w:hAnsi="Times New Roman" w:cs="Times New Roman"/>
          <w:color w:val="000000" w:themeColor="text1"/>
          <w:sz w:val="24"/>
        </w:rPr>
        <w:t xml:space="preserve">а, </w:t>
      </w:r>
      <w:r w:rsidRPr="00294235">
        <w:rPr>
          <w:rFonts w:ascii="Times New Roman" w:hAnsi="Times New Roman" w:cs="Times New Roman"/>
          <w:color w:val="000000" w:themeColor="text1"/>
          <w:sz w:val="24"/>
          <w:lang w:val="en-US"/>
        </w:rPr>
        <w:t>b</w:t>
      </w:r>
      <w:r w:rsidRPr="00294235">
        <w:rPr>
          <w:rFonts w:ascii="Times New Roman" w:hAnsi="Times New Roman" w:cs="Times New Roman"/>
          <w:color w:val="000000" w:themeColor="text1"/>
          <w:sz w:val="24"/>
        </w:rPr>
        <w:t xml:space="preserve"> – содержание в сжиженном углеводородном газе пропана и бутана, % (вес.);</w:t>
      </w:r>
      <w:r w:rsidRPr="00294235">
        <w:rPr>
          <w:rFonts w:ascii="Times New Roman" w:hAnsi="Times New Roman" w:cs="Times New Roman"/>
          <w:b/>
          <w:color w:val="000000" w:themeColor="text1"/>
          <w:sz w:val="24"/>
        </w:rPr>
        <w:t xml:space="preserve"> </w:t>
      </w:r>
      <w:r w:rsidRPr="00294235">
        <w:rPr>
          <w:rFonts w:ascii="Times New Roman" w:eastAsia="Calibri" w:hAnsi="Times New Roman" w:cs="Times New Roman"/>
          <w:color w:val="000000" w:themeColor="text1"/>
          <w:position w:val="-16"/>
          <w:sz w:val="24"/>
        </w:rPr>
        <w:object w:dxaOrig="780" w:dyaOrig="460">
          <v:shape id="_x0000_i1029" type="#_x0000_t75" style="width:43.5pt;height:21.75pt" o:ole="">
            <v:imagedata r:id="rId16" o:title=""/>
          </v:shape>
          <o:OLEObject Type="Embed" ProgID="Equation.DSMT4" ShapeID="_x0000_i1029" DrawAspect="Content" ObjectID="_1830098911" r:id="rId17"/>
        </w:object>
      </w:r>
      <w:r w:rsidR="003F2337" w:rsidRPr="00294235">
        <w:rPr>
          <w:rFonts w:ascii="Times New Roman" w:hAnsi="Times New Roman" w:cs="Times New Roman"/>
          <w:color w:val="000000" w:themeColor="text1"/>
          <w:sz w:val="24"/>
        </w:rPr>
        <w:t xml:space="preserve"> – </w:t>
      </w:r>
      <w:r w:rsidRPr="00294235">
        <w:rPr>
          <w:rFonts w:ascii="Times New Roman" w:hAnsi="Times New Roman" w:cs="Times New Roman"/>
          <w:color w:val="000000" w:themeColor="text1"/>
          <w:sz w:val="24"/>
        </w:rPr>
        <w:t xml:space="preserve">удельный объем жидкости </w:t>
      </w:r>
      <w:r w:rsidRPr="00294235">
        <w:rPr>
          <w:rFonts w:ascii="Times New Roman" w:eastAsia="Calibri" w:hAnsi="Times New Roman" w:cs="Times New Roman"/>
          <w:color w:val="000000" w:themeColor="text1"/>
          <w:sz w:val="24"/>
        </w:rPr>
        <w:t>при реальной температуре в момент заполнения</w:t>
      </w:r>
      <w:r w:rsidR="006070DA" w:rsidRPr="00294235">
        <w:rPr>
          <w:rFonts w:ascii="Times New Roman" w:eastAsia="Calibri" w:hAnsi="Times New Roman" w:cs="Times New Roman"/>
          <w:color w:val="000000" w:themeColor="text1"/>
          <w:sz w:val="24"/>
        </w:rPr>
        <w:t>,</w:t>
      </w:r>
      <w:r w:rsidRPr="00294235">
        <w:rPr>
          <w:rFonts w:ascii="Times New Roman" w:eastAsia="Calibri" w:hAnsi="Times New Roman" w:cs="Times New Roman"/>
          <w:color w:val="000000" w:themeColor="text1"/>
          <w:sz w:val="24"/>
        </w:rPr>
        <w:t xml:space="preserve"> занимаемый пропаном и бутаном, соответственно, м</w:t>
      </w:r>
      <w:r w:rsidRPr="00294235">
        <w:rPr>
          <w:rFonts w:ascii="Times New Roman" w:eastAsia="Calibri" w:hAnsi="Times New Roman" w:cs="Times New Roman"/>
          <w:color w:val="000000" w:themeColor="text1"/>
          <w:sz w:val="24"/>
          <w:vertAlign w:val="superscript"/>
        </w:rPr>
        <w:t>3</w:t>
      </w:r>
      <w:r w:rsidRPr="00294235">
        <w:rPr>
          <w:rFonts w:ascii="Times New Roman" w:eastAsia="Calibri" w:hAnsi="Times New Roman" w:cs="Times New Roman"/>
          <w:color w:val="000000" w:themeColor="text1"/>
          <w:sz w:val="24"/>
        </w:rPr>
        <w:t>/кг.</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По диаграммам состояния [3] определяем удельный объем насыщенных жидкостей пропана и бутана при критической температуре и температурах эксплуатации баллона СУГ.</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Предельно допустимый объем жидкости в баллоне, м</w:t>
      </w:r>
      <w:r w:rsidRPr="00294235">
        <w:rPr>
          <w:rFonts w:ascii="Times New Roman" w:hAnsi="Times New Roman" w:cs="Times New Roman"/>
          <w:color w:val="000000" w:themeColor="text1"/>
          <w:sz w:val="24"/>
          <w:vertAlign w:val="superscript"/>
        </w:rPr>
        <w:t>3</w:t>
      </w:r>
      <w:r w:rsidRPr="00294235">
        <w:rPr>
          <w:rFonts w:ascii="Times New Roman" w:hAnsi="Times New Roman" w:cs="Times New Roman"/>
          <w:color w:val="000000" w:themeColor="text1"/>
          <w:sz w:val="24"/>
        </w:rPr>
        <w:t>:</w:t>
      </w:r>
    </w:p>
    <w:p w:rsidR="00865788" w:rsidRPr="00294235" w:rsidRDefault="00865788" w:rsidP="00865788">
      <w:pPr>
        <w:pStyle w:val="19"/>
        <w:spacing w:before="120"/>
        <w:rPr>
          <w:color w:val="000000" w:themeColor="text1"/>
        </w:rPr>
      </w:pPr>
      <w:r w:rsidRPr="00294235">
        <w:rPr>
          <w:color w:val="000000" w:themeColor="text1"/>
        </w:rPr>
        <w:tab/>
      </w:r>
      <w:r w:rsidRPr="00294235">
        <w:rPr>
          <w:color w:val="000000" w:themeColor="text1"/>
          <w:position w:val="-34"/>
          <w:lang w:val="en-US"/>
        </w:rPr>
        <w:object w:dxaOrig="1340" w:dyaOrig="780">
          <v:shape id="_x0000_i1030" type="#_x0000_t75" style="width:64.5pt;height:43.5pt" o:ole="">
            <v:imagedata r:id="rId18" o:title=""/>
          </v:shape>
          <o:OLEObject Type="Embed" ProgID="Equation.3" ShapeID="_x0000_i1030" DrawAspect="Content" ObjectID="_1830098912" r:id="rId19"/>
        </w:object>
      </w:r>
      <w:r w:rsidRPr="00294235">
        <w:rPr>
          <w:color w:val="000000" w:themeColor="text1"/>
        </w:rPr>
        <w:tab/>
        <w:t>(3)</w:t>
      </w:r>
    </w:p>
    <w:p w:rsidR="00085F6C" w:rsidRPr="00294235" w:rsidRDefault="00085F6C" w:rsidP="00865788">
      <w:pPr>
        <w:spacing w:after="0" w:line="240" w:lineRule="auto"/>
        <w:ind w:firstLine="709"/>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Предельно допустимая масса жидкости в баллоне, кг:</w:t>
      </w:r>
    </w:p>
    <w:p w:rsidR="00865788" w:rsidRPr="00294235" w:rsidRDefault="00865788" w:rsidP="00865788">
      <w:pPr>
        <w:pStyle w:val="19"/>
        <w:spacing w:before="120"/>
        <w:rPr>
          <w:color w:val="000000" w:themeColor="text1"/>
        </w:rPr>
      </w:pPr>
      <w:r w:rsidRPr="00294235">
        <w:rPr>
          <w:color w:val="000000" w:themeColor="text1"/>
        </w:rPr>
        <w:tab/>
      </w:r>
      <w:r w:rsidRPr="00294235">
        <w:rPr>
          <w:color w:val="000000" w:themeColor="text1"/>
          <w:position w:val="-34"/>
          <w:lang w:val="en-US"/>
        </w:rPr>
        <w:object w:dxaOrig="1219" w:dyaOrig="720">
          <v:shape id="_x0000_i1031" type="#_x0000_t75" style="width:64.5pt;height:36pt" o:ole="">
            <v:imagedata r:id="rId20" o:title=""/>
          </v:shape>
          <o:OLEObject Type="Embed" ProgID="Equation.3" ShapeID="_x0000_i1031" DrawAspect="Content" ObjectID="_1830098913" r:id="rId21"/>
        </w:object>
      </w:r>
      <w:r w:rsidRPr="00294235">
        <w:rPr>
          <w:color w:val="000000" w:themeColor="text1"/>
        </w:rPr>
        <w:tab/>
        <w:t>(4)</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Для решения задачи были приняты исходные данные:</w:t>
      </w:r>
    </w:p>
    <w:p w:rsidR="00085F6C" w:rsidRPr="00294235" w:rsidRDefault="003F2337"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 xml:space="preserve">– </w:t>
      </w:r>
      <w:r w:rsidR="00085F6C" w:rsidRPr="00294235">
        <w:rPr>
          <w:rFonts w:ascii="Times New Roman" w:hAnsi="Times New Roman" w:cs="Times New Roman"/>
          <w:color w:val="000000" w:themeColor="text1"/>
          <w:sz w:val="24"/>
        </w:rPr>
        <w:t>состав сжиженного углеводородного газа рассматривался в виде пропана (П), пропана технического (ПТ), пропан-бутана технического (ПБТ), бутана технического (БТ), бутана (Б);</w:t>
      </w:r>
    </w:p>
    <w:p w:rsidR="00085F6C" w:rsidRPr="00294235" w:rsidRDefault="00865788"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w:t>
      </w:r>
      <w:r w:rsidR="00085F6C" w:rsidRPr="00294235">
        <w:rPr>
          <w:rFonts w:ascii="Times New Roman" w:hAnsi="Times New Roman" w:cs="Times New Roman"/>
          <w:color w:val="000000" w:themeColor="text1"/>
          <w:sz w:val="24"/>
        </w:rPr>
        <w:t xml:space="preserve"> температуры эксплуатации и заправки баллонов газом от -10 до +30</w:t>
      </w:r>
      <w:r w:rsidRPr="00294235">
        <w:rPr>
          <w:rFonts w:ascii="Times New Roman" w:hAnsi="Times New Roman" w:cs="Times New Roman"/>
          <w:color w:val="000000" w:themeColor="text1"/>
          <w:sz w:val="24"/>
        </w:rPr>
        <w:t>° </w:t>
      </w:r>
      <w:r w:rsidR="00085F6C" w:rsidRPr="00294235">
        <w:rPr>
          <w:rFonts w:ascii="Times New Roman" w:hAnsi="Times New Roman" w:cs="Times New Roman"/>
          <w:color w:val="000000" w:themeColor="text1"/>
          <w:sz w:val="24"/>
        </w:rPr>
        <w:t>С;</w:t>
      </w:r>
    </w:p>
    <w:p w:rsidR="00085F6C" w:rsidRPr="00294235" w:rsidRDefault="00865788"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w:t>
      </w:r>
      <w:r w:rsidR="00085F6C" w:rsidRPr="00294235">
        <w:rPr>
          <w:rFonts w:ascii="Times New Roman" w:hAnsi="Times New Roman" w:cs="Times New Roman"/>
          <w:color w:val="000000" w:themeColor="text1"/>
          <w:sz w:val="24"/>
        </w:rPr>
        <w:t xml:space="preserve"> геометрический объем композитных баллонов 12,7, 24,5, 47 л;</w:t>
      </w:r>
    </w:p>
    <w:p w:rsidR="00085F6C" w:rsidRPr="00294235" w:rsidRDefault="00865788"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w:t>
      </w:r>
      <w:r w:rsidR="00085F6C" w:rsidRPr="00294235">
        <w:rPr>
          <w:rFonts w:ascii="Times New Roman" w:hAnsi="Times New Roman" w:cs="Times New Roman"/>
          <w:color w:val="000000" w:themeColor="text1"/>
          <w:sz w:val="24"/>
        </w:rPr>
        <w:t xml:space="preserve"> у потребителя установлена 4 конфорочная газовая плита по типу </w:t>
      </w:r>
      <w:r w:rsidR="00BC1F0F" w:rsidRPr="00294235">
        <w:rPr>
          <w:rFonts w:ascii="Times New Roman" w:hAnsi="Times New Roman" w:cs="Times New Roman"/>
          <w:color w:val="000000" w:themeColor="text1"/>
          <w:sz w:val="24"/>
        </w:rPr>
        <w:t>«</w:t>
      </w:r>
      <w:r w:rsidR="00085F6C" w:rsidRPr="00294235">
        <w:rPr>
          <w:rFonts w:ascii="Times New Roman" w:hAnsi="Times New Roman" w:cs="Times New Roman"/>
          <w:color w:val="000000" w:themeColor="text1"/>
          <w:sz w:val="24"/>
        </w:rPr>
        <w:t>ГП-4</w:t>
      </w:r>
      <w:r w:rsidR="00BC1F0F" w:rsidRPr="00294235">
        <w:rPr>
          <w:rFonts w:ascii="Times New Roman" w:hAnsi="Times New Roman" w:cs="Times New Roman"/>
          <w:color w:val="000000" w:themeColor="text1"/>
          <w:sz w:val="24"/>
        </w:rPr>
        <w:t>»</w:t>
      </w:r>
      <w:r w:rsidR="00085F6C" w:rsidRPr="00294235">
        <w:rPr>
          <w:rFonts w:ascii="Times New Roman" w:hAnsi="Times New Roman" w:cs="Times New Roman"/>
          <w:color w:val="000000" w:themeColor="text1"/>
          <w:sz w:val="24"/>
        </w:rPr>
        <w:t>.</w:t>
      </w:r>
    </w:p>
    <w:p w:rsidR="00F55EF3"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Уровень заполнения баллонов в зависимости от температуры наружного воздуха и компонентного состава СУГ представлен в табл.</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1</w:t>
      </w:r>
      <w:r w:rsidR="00865788" w:rsidRPr="00294235">
        <w:rPr>
          <w:rFonts w:ascii="Times New Roman" w:hAnsi="Times New Roman" w:cs="Times New Roman"/>
          <w:color w:val="000000" w:themeColor="text1"/>
          <w:sz w:val="24"/>
        </w:rPr>
        <w:t>.</w:t>
      </w:r>
    </w:p>
    <w:p w:rsidR="00F55EF3" w:rsidRPr="00294235" w:rsidRDefault="00F55EF3"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Как видно из табл.</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1</w:t>
      </w:r>
      <w:r w:rsidR="00DB6244"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допустимый уровень заполнения баллона изменяется в зависимости от температуры окружающей среды, увеличиваясь при повышении последней. В рамках одного компонентного состава сжиженного газа колебания уровня заполнения составляют от 9,78 до 17,6</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при этом наибольшее расхождение наблюдается у марки газа «Пропан». Колебания уровней заполнения наиболее распространенных в применении марок «Пропан технический» и «Пропан-бутан технический» и «Бутан технический» составляют 13,2-15,38</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В соответствии с правилами безопасной эксплуатации сосудов сжиженного углеводородного газа [1], рекомендуемый уровень заполнения жидкой фазой не должен превышать 85</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xml:space="preserve">%, что способствует переливу газа в сосуды (верхняя область таблицы), и соответственно недоливу в емкости жидкой фазы </w:t>
      </w:r>
      <w:r w:rsidRPr="00294235">
        <w:rPr>
          <w:rFonts w:ascii="Times New Roman" w:hAnsi="Times New Roman" w:cs="Times New Roman"/>
          <w:color w:val="000000" w:themeColor="text1"/>
          <w:sz w:val="24"/>
        </w:rPr>
        <w:lastRenderedPageBreak/>
        <w:t>при положительной температуре окружающей среды (нижняя область таблицы), что снижает возможности по качественному использованию газа.</w:t>
      </w:r>
    </w:p>
    <w:p w:rsidR="00085F6C" w:rsidRPr="00294235" w:rsidRDefault="00085F6C" w:rsidP="00333948">
      <w:pPr>
        <w:spacing w:after="0" w:line="240" w:lineRule="auto"/>
        <w:ind w:firstLine="567"/>
        <w:jc w:val="both"/>
        <w:rPr>
          <w:rFonts w:ascii="Times New Roman" w:hAnsi="Times New Roman" w:cs="Times New Roman"/>
          <w:color w:val="000000" w:themeColor="text1"/>
          <w:sz w:val="28"/>
        </w:rPr>
      </w:pPr>
    </w:p>
    <w:p w:rsidR="00085F6C" w:rsidRPr="00294235" w:rsidRDefault="00085F6C" w:rsidP="00333948">
      <w:pPr>
        <w:spacing w:after="0" w:line="240" w:lineRule="auto"/>
        <w:ind w:firstLine="284"/>
        <w:jc w:val="right"/>
        <w:rPr>
          <w:rFonts w:ascii="Times New Roman" w:hAnsi="Times New Roman" w:cs="Times New Roman"/>
          <w:color w:val="000000" w:themeColor="text1"/>
        </w:rPr>
      </w:pPr>
      <w:r w:rsidRPr="00294235">
        <w:rPr>
          <w:rFonts w:ascii="Times New Roman" w:hAnsi="Times New Roman" w:cs="Times New Roman"/>
          <w:color w:val="000000" w:themeColor="text1"/>
        </w:rPr>
        <w:t xml:space="preserve">Таблица 1 </w:t>
      </w:r>
    </w:p>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Максимальный уровень заполнения баллонов жидкой фазой газа</w:t>
      </w:r>
    </w:p>
    <w:tbl>
      <w:tblPr>
        <w:tblW w:w="6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960"/>
        <w:gridCol w:w="960"/>
        <w:gridCol w:w="960"/>
        <w:gridCol w:w="960"/>
        <w:gridCol w:w="960"/>
      </w:tblGrid>
      <w:tr w:rsidR="00085F6C" w:rsidRPr="00294235" w:rsidTr="00BA2797">
        <w:trPr>
          <w:trHeight w:val="300"/>
          <w:jc w:val="center"/>
        </w:trPr>
        <w:tc>
          <w:tcPr>
            <w:tcW w:w="1565" w:type="dxa"/>
            <w:vMerge w:val="restart"/>
            <w:vAlign w:val="bottom"/>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Температура окружающей среды, </w:t>
            </w:r>
            <w:r w:rsidR="00865788" w:rsidRPr="00294235">
              <w:rPr>
                <w:rFonts w:ascii="Times New Roman" w:hAnsi="Times New Roman" w:cs="Times New Roman"/>
                <w:color w:val="000000" w:themeColor="text1"/>
              </w:rPr>
              <w:t>°</w:t>
            </w:r>
            <w:r w:rsidRPr="00294235">
              <w:rPr>
                <w:rFonts w:ascii="Times New Roman" w:hAnsi="Times New Roman" w:cs="Times New Roman"/>
                <w:color w:val="000000" w:themeColor="text1"/>
              </w:rPr>
              <w:t>С</w:t>
            </w:r>
          </w:p>
        </w:tc>
        <w:tc>
          <w:tcPr>
            <w:tcW w:w="4800" w:type="dxa"/>
            <w:gridSpan w:val="5"/>
            <w:shd w:val="clear" w:color="auto" w:fill="auto"/>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Сжиженные газы, заполняющие баллон</w:t>
            </w:r>
          </w:p>
        </w:tc>
      </w:tr>
      <w:tr w:rsidR="00085F6C" w:rsidRPr="00294235" w:rsidTr="00DB6244">
        <w:trPr>
          <w:trHeight w:val="300"/>
          <w:jc w:val="center"/>
        </w:trPr>
        <w:tc>
          <w:tcPr>
            <w:tcW w:w="1565" w:type="dxa"/>
            <w:vMerge/>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p>
        </w:tc>
        <w:tc>
          <w:tcPr>
            <w:tcW w:w="960" w:type="dxa"/>
            <w:tcBorders>
              <w:bottom w:val="single" w:sz="4" w:space="0" w:color="auto"/>
            </w:tcBorders>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w:t>
            </w:r>
          </w:p>
        </w:tc>
        <w:tc>
          <w:tcPr>
            <w:tcW w:w="960" w:type="dxa"/>
            <w:tcBorders>
              <w:bottom w:val="single" w:sz="4" w:space="0" w:color="auto"/>
            </w:tcBorders>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ПТ</w:t>
            </w:r>
          </w:p>
        </w:tc>
        <w:tc>
          <w:tcPr>
            <w:tcW w:w="960" w:type="dxa"/>
            <w:tcBorders>
              <w:bottom w:val="single" w:sz="4" w:space="0" w:color="auto"/>
            </w:tcBorders>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ПБТ</w:t>
            </w:r>
          </w:p>
        </w:tc>
        <w:tc>
          <w:tcPr>
            <w:tcW w:w="960" w:type="dxa"/>
            <w:tcBorders>
              <w:bottom w:val="single" w:sz="4" w:space="0" w:color="auto"/>
            </w:tcBorders>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БТ</w:t>
            </w:r>
          </w:p>
        </w:tc>
        <w:tc>
          <w:tcPr>
            <w:tcW w:w="960" w:type="dxa"/>
            <w:tcBorders>
              <w:bottom w:val="single" w:sz="4" w:space="0" w:color="auto"/>
            </w:tcBorders>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w:t>
            </w:r>
          </w:p>
        </w:tc>
      </w:tr>
      <w:tr w:rsidR="00085F6C" w:rsidRPr="00294235" w:rsidTr="00DB6244">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-30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0,75</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0,77</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0,79</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0,79</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0,83</w:t>
            </w:r>
          </w:p>
        </w:tc>
      </w:tr>
      <w:tr w:rsidR="00085F6C" w:rsidRPr="00294235" w:rsidTr="00DB6244">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0,77</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0,79</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0,81</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0,84</w:t>
            </w:r>
          </w:p>
        </w:tc>
      </w:tr>
      <w:tr w:rsidR="00085F6C" w:rsidRPr="00294235" w:rsidTr="00DB6244">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0,78</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0,81</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0,82</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0,85</w:t>
            </w:r>
          </w:p>
        </w:tc>
      </w:tr>
      <w:tr w:rsidR="00085F6C" w:rsidRPr="00294235" w:rsidTr="00DB6244">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0,81</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0,83</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0,83</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0,86</w:t>
            </w:r>
          </w:p>
        </w:tc>
      </w:tr>
      <w:tr w:rsidR="00085F6C" w:rsidRPr="00294235" w:rsidTr="00DB6244">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0,83</w:t>
            </w:r>
          </w:p>
        </w:tc>
        <w:tc>
          <w:tcPr>
            <w:tcW w:w="960" w:type="dxa"/>
            <w:shd w:val="clear" w:color="auto" w:fill="D0CECE" w:themeFill="background2" w:themeFillShade="E6"/>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0,84</w:t>
            </w:r>
          </w:p>
        </w:tc>
        <w:tc>
          <w:tcPr>
            <w:tcW w:w="960" w:type="dxa"/>
            <w:shd w:val="clear" w:color="auto" w:fill="auto"/>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0,85</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0,86</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0,88</w:t>
            </w:r>
          </w:p>
        </w:tc>
      </w:tr>
      <w:tr w:rsidR="00085F6C" w:rsidRPr="00294235" w:rsidTr="00BA2797">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20</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0,87</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0,87</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0,88</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0,88</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0,90</w:t>
            </w:r>
          </w:p>
        </w:tc>
      </w:tr>
      <w:tr w:rsidR="00085F6C" w:rsidRPr="00294235" w:rsidTr="00BA2797">
        <w:trPr>
          <w:trHeight w:val="300"/>
          <w:jc w:val="center"/>
        </w:trPr>
        <w:tc>
          <w:tcPr>
            <w:tcW w:w="1565" w:type="dxa"/>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30</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0,91</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0,91</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0,91</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0,91</w:t>
            </w:r>
          </w:p>
        </w:tc>
        <w:tc>
          <w:tcPr>
            <w:tcW w:w="960" w:type="dxa"/>
            <w:shd w:val="clear" w:color="auto" w:fill="FFFF00"/>
            <w:noWrap/>
            <w:vAlign w:val="bottom"/>
          </w:tcPr>
          <w:p w:rsidR="00085F6C" w:rsidRPr="00294235" w:rsidRDefault="00085F6C" w:rsidP="0033394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0,92</w:t>
            </w:r>
          </w:p>
        </w:tc>
      </w:tr>
    </w:tbl>
    <w:p w:rsidR="00F55EF3" w:rsidRPr="00294235" w:rsidRDefault="00F55EF3" w:rsidP="00333948">
      <w:pPr>
        <w:spacing w:after="0" w:line="240" w:lineRule="auto"/>
        <w:ind w:firstLine="567"/>
        <w:jc w:val="both"/>
        <w:rPr>
          <w:rFonts w:ascii="Times New Roman" w:hAnsi="Times New Roman" w:cs="Times New Roman"/>
          <w:color w:val="000000" w:themeColor="text1"/>
          <w:sz w:val="24"/>
        </w:rPr>
      </w:pP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Предельно допустимое количество газа, заливаемое в баллон в зависимости от компонентного состава</w:t>
      </w:r>
      <w:r w:rsidR="00DB6244"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представлено в табл.</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2.</w:t>
      </w:r>
    </w:p>
    <w:p w:rsidR="00F55EF3" w:rsidRPr="00294235" w:rsidRDefault="00F55EF3" w:rsidP="00333948">
      <w:pPr>
        <w:spacing w:after="0" w:line="240" w:lineRule="auto"/>
        <w:ind w:firstLine="284"/>
        <w:jc w:val="right"/>
        <w:rPr>
          <w:rFonts w:ascii="Times New Roman" w:hAnsi="Times New Roman" w:cs="Times New Roman"/>
          <w:color w:val="000000" w:themeColor="text1"/>
        </w:rPr>
      </w:pPr>
    </w:p>
    <w:p w:rsidR="00085F6C" w:rsidRPr="00294235" w:rsidRDefault="00865788" w:rsidP="00333948">
      <w:pPr>
        <w:spacing w:after="0" w:line="240" w:lineRule="auto"/>
        <w:ind w:firstLine="284"/>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2</w:t>
      </w:r>
    </w:p>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Максимальное количество газа для заполнения баллонов жидкой фазой</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922"/>
        <w:gridCol w:w="922"/>
        <w:gridCol w:w="922"/>
        <w:gridCol w:w="922"/>
        <w:gridCol w:w="920"/>
      </w:tblGrid>
      <w:tr w:rsidR="00085F6C" w:rsidRPr="00294235" w:rsidTr="00865788">
        <w:trPr>
          <w:trHeight w:val="300"/>
          <w:jc w:val="center"/>
        </w:trPr>
        <w:tc>
          <w:tcPr>
            <w:tcW w:w="2476" w:type="pct"/>
            <w:vMerge w:val="restart"/>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Геометрический объем баллона, л</w:t>
            </w:r>
          </w:p>
        </w:tc>
        <w:tc>
          <w:tcPr>
            <w:tcW w:w="2524" w:type="pct"/>
            <w:gridSpan w:val="5"/>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Сжиженные газы, заполняющие баллон, кг</w:t>
            </w:r>
          </w:p>
        </w:tc>
      </w:tr>
      <w:tr w:rsidR="00085F6C" w:rsidRPr="00294235" w:rsidTr="00865788">
        <w:trPr>
          <w:trHeight w:val="300"/>
          <w:jc w:val="center"/>
        </w:trPr>
        <w:tc>
          <w:tcPr>
            <w:tcW w:w="2476" w:type="pct"/>
            <w:vMerge/>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ПТ</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ПБТ</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БТ</w:t>
            </w:r>
          </w:p>
        </w:tc>
        <w:tc>
          <w:tcPr>
            <w:tcW w:w="504"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w:t>
            </w:r>
          </w:p>
        </w:tc>
      </w:tr>
      <w:tr w:rsidR="00085F6C" w:rsidRPr="00294235" w:rsidTr="00865788">
        <w:trPr>
          <w:trHeight w:val="300"/>
          <w:jc w:val="center"/>
        </w:trPr>
        <w:tc>
          <w:tcPr>
            <w:tcW w:w="2476" w:type="pct"/>
            <w:vAlign w:val="center"/>
          </w:tcPr>
          <w:p w:rsidR="00085F6C" w:rsidRPr="00294235" w:rsidRDefault="00085F6C" w:rsidP="00865788">
            <w:pPr>
              <w:spacing w:after="0" w:line="240" w:lineRule="auto"/>
              <w:rPr>
                <w:rFonts w:ascii="Times New Roman" w:hAnsi="Times New Roman" w:cs="Times New Roman"/>
                <w:color w:val="000000" w:themeColor="text1"/>
              </w:rPr>
            </w:pPr>
            <w:r w:rsidRPr="00294235">
              <w:rPr>
                <w:rFonts w:ascii="Times New Roman" w:hAnsi="Times New Roman" w:cs="Times New Roman"/>
                <w:color w:val="000000" w:themeColor="text1"/>
              </w:rPr>
              <w:t>12,7</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5,39</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5,65</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5,94</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6,06</w:t>
            </w:r>
          </w:p>
        </w:tc>
        <w:tc>
          <w:tcPr>
            <w:tcW w:w="504"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6,61</w:t>
            </w:r>
          </w:p>
        </w:tc>
      </w:tr>
      <w:tr w:rsidR="00085F6C" w:rsidRPr="00294235" w:rsidTr="00865788">
        <w:trPr>
          <w:trHeight w:val="300"/>
          <w:jc w:val="center"/>
        </w:trPr>
        <w:tc>
          <w:tcPr>
            <w:tcW w:w="2476" w:type="pct"/>
            <w:vAlign w:val="center"/>
          </w:tcPr>
          <w:p w:rsidR="00085F6C" w:rsidRPr="00294235" w:rsidRDefault="00085F6C" w:rsidP="00865788">
            <w:pPr>
              <w:spacing w:after="0" w:line="240" w:lineRule="auto"/>
              <w:rPr>
                <w:rFonts w:ascii="Times New Roman" w:hAnsi="Times New Roman" w:cs="Times New Roman"/>
                <w:color w:val="000000" w:themeColor="text1"/>
              </w:rPr>
            </w:pPr>
            <w:r w:rsidRPr="00294235">
              <w:rPr>
                <w:rFonts w:ascii="Times New Roman" w:hAnsi="Times New Roman" w:cs="Times New Roman"/>
                <w:color w:val="000000" w:themeColor="text1"/>
              </w:rPr>
              <w:t>24,5</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10,4</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10,91</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11,46</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11,7</w:t>
            </w:r>
          </w:p>
        </w:tc>
        <w:tc>
          <w:tcPr>
            <w:tcW w:w="504"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12,76</w:t>
            </w:r>
          </w:p>
        </w:tc>
      </w:tr>
      <w:tr w:rsidR="00085F6C" w:rsidRPr="00294235" w:rsidTr="00865788">
        <w:trPr>
          <w:trHeight w:val="300"/>
          <w:jc w:val="center"/>
        </w:trPr>
        <w:tc>
          <w:tcPr>
            <w:tcW w:w="2476" w:type="pct"/>
            <w:vAlign w:val="center"/>
          </w:tcPr>
          <w:p w:rsidR="00085F6C" w:rsidRPr="00294235" w:rsidRDefault="00085F6C" w:rsidP="00865788">
            <w:pPr>
              <w:spacing w:after="0" w:line="240" w:lineRule="auto"/>
              <w:rPr>
                <w:rFonts w:ascii="Times New Roman" w:hAnsi="Times New Roman" w:cs="Times New Roman"/>
                <w:color w:val="000000" w:themeColor="text1"/>
              </w:rPr>
            </w:pPr>
            <w:r w:rsidRPr="00294235">
              <w:rPr>
                <w:rFonts w:ascii="Times New Roman" w:hAnsi="Times New Roman" w:cs="Times New Roman"/>
                <w:color w:val="000000" w:themeColor="text1"/>
              </w:rPr>
              <w:t>47</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19,96</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20,92</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21,99</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22,45</w:t>
            </w:r>
          </w:p>
        </w:tc>
        <w:tc>
          <w:tcPr>
            <w:tcW w:w="504"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24,48</w:t>
            </w:r>
          </w:p>
        </w:tc>
      </w:tr>
      <w:tr w:rsidR="00085F6C" w:rsidRPr="00294235" w:rsidTr="00865788">
        <w:trPr>
          <w:trHeight w:val="300"/>
          <w:jc w:val="center"/>
        </w:trPr>
        <w:tc>
          <w:tcPr>
            <w:tcW w:w="2476" w:type="pct"/>
            <w:vAlign w:val="center"/>
          </w:tcPr>
          <w:p w:rsidR="00085F6C" w:rsidRPr="00294235" w:rsidRDefault="00085F6C" w:rsidP="00865788">
            <w:pPr>
              <w:spacing w:after="0" w:line="240" w:lineRule="auto"/>
              <w:rPr>
                <w:rFonts w:ascii="Times New Roman" w:hAnsi="Times New Roman" w:cs="Times New Roman"/>
                <w:color w:val="000000" w:themeColor="text1"/>
              </w:rPr>
            </w:pPr>
            <w:r w:rsidRPr="00294235">
              <w:rPr>
                <w:rFonts w:ascii="Times New Roman" w:hAnsi="Times New Roman" w:cs="Times New Roman"/>
                <w:color w:val="000000" w:themeColor="text1"/>
              </w:rPr>
              <w:t>Коэффициент заполнения баллона по массе</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0,42</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0,44</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0,47</w:t>
            </w:r>
          </w:p>
        </w:tc>
        <w:tc>
          <w:tcPr>
            <w:tcW w:w="50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0,48</w:t>
            </w:r>
          </w:p>
        </w:tc>
        <w:tc>
          <w:tcPr>
            <w:tcW w:w="504"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0,52</w:t>
            </w:r>
          </w:p>
        </w:tc>
      </w:tr>
    </w:tbl>
    <w:p w:rsidR="006A0925" w:rsidRPr="00294235" w:rsidRDefault="006A0925" w:rsidP="00333948">
      <w:pPr>
        <w:spacing w:after="0" w:line="240" w:lineRule="auto"/>
        <w:ind w:firstLine="567"/>
        <w:jc w:val="both"/>
        <w:rPr>
          <w:rFonts w:ascii="Times New Roman" w:hAnsi="Times New Roman" w:cs="Times New Roman"/>
          <w:color w:val="000000" w:themeColor="text1"/>
        </w:rPr>
      </w:pP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Как видно из табл.</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2</w:t>
      </w:r>
      <w:r w:rsidR="00072C69"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заполнение баллона по массе не меняется при изменении параметров окружающей среды и в рамках каждого компонентного состава остается постоянным. Таким образом</w:t>
      </w:r>
      <w:r w:rsidR="00DB6244"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при заправке баллонов газов необходимо ориентироваться не на уровень заполнения, а на заливаемую массу газа, что возможно определить </w:t>
      </w:r>
      <w:r w:rsidR="00DB6244" w:rsidRPr="00294235">
        <w:rPr>
          <w:rFonts w:ascii="Times New Roman" w:hAnsi="Times New Roman" w:cs="Times New Roman"/>
          <w:color w:val="000000" w:themeColor="text1"/>
          <w:sz w:val="24"/>
        </w:rPr>
        <w:t xml:space="preserve">только </w:t>
      </w:r>
      <w:r w:rsidRPr="00294235">
        <w:rPr>
          <w:rFonts w:ascii="Times New Roman" w:hAnsi="Times New Roman" w:cs="Times New Roman"/>
          <w:color w:val="000000" w:themeColor="text1"/>
          <w:sz w:val="24"/>
        </w:rPr>
        <w:t>контрольным взвешиванием, что зачастую невозможно осуществить при заправке баллона в реальных условиях.</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Компонентный состав газа оказывает значительное влияние на массу заполнения баллона. Наибольшая разница составляет 18,45</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xml:space="preserve">% для газов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Пропан</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и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Бутан</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а </w:t>
      </w:r>
      <w:r w:rsidR="00DB6244" w:rsidRPr="00294235">
        <w:rPr>
          <w:rFonts w:ascii="Times New Roman" w:hAnsi="Times New Roman" w:cs="Times New Roman"/>
          <w:color w:val="000000" w:themeColor="text1"/>
          <w:sz w:val="24"/>
        </w:rPr>
        <w:t xml:space="preserve">в </w:t>
      </w:r>
      <w:r w:rsidRPr="00294235">
        <w:rPr>
          <w:rFonts w:ascii="Times New Roman" w:hAnsi="Times New Roman" w:cs="Times New Roman"/>
          <w:color w:val="000000" w:themeColor="text1"/>
          <w:sz w:val="24"/>
        </w:rPr>
        <w:t xml:space="preserve">рамках наиболее распространенных марок газа в РФ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Пропан технический</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и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Бутан технический</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разница составляет 6,8</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Принимая во внимание, что баллоны в первую очередь применяются для нужд пищеприготовления, указанное обстоятельство способствует неполному использованию возможностей баллона для обеспечения подачи газа потребителю.</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Учитывая ранее проведенные исследования</w:t>
      </w:r>
      <w:r w:rsidR="00DB6244"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рекомендуется в теплый период года </w:t>
      </w:r>
      <w:r w:rsidR="00DB6244" w:rsidRPr="00294235">
        <w:rPr>
          <w:rFonts w:ascii="Times New Roman" w:hAnsi="Times New Roman" w:cs="Times New Roman"/>
          <w:color w:val="000000" w:themeColor="text1"/>
          <w:sz w:val="24"/>
        </w:rPr>
        <w:t xml:space="preserve">осуществлять </w:t>
      </w:r>
      <w:r w:rsidRPr="00294235">
        <w:rPr>
          <w:rFonts w:ascii="Times New Roman" w:hAnsi="Times New Roman" w:cs="Times New Roman"/>
          <w:color w:val="000000" w:themeColor="text1"/>
          <w:sz w:val="24"/>
        </w:rPr>
        <w:t xml:space="preserve">заправку баллонов сжиженным газом с повышенным содержанием бутана марок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Бутан технический</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и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Бутан</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тем самым обусловливая более высокий уровень заполнения сосудов и массу газа в баллоне и способствуя увеличению продолжительности использования баллона в целом.</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Рассмотрим продолжительность использования баллонов для нужд пищеприговления при использовании различных марок газа.</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Плотность смеси паров СУГ определяется в соответствии с правилом аддитивности по выражению [1]:</w:t>
      </w:r>
    </w:p>
    <w:p w:rsidR="00865788" w:rsidRPr="00294235" w:rsidRDefault="00865788" w:rsidP="00865788">
      <w:pPr>
        <w:pStyle w:val="19"/>
        <w:spacing w:before="120"/>
        <w:rPr>
          <w:color w:val="000000" w:themeColor="text1"/>
        </w:rPr>
      </w:pPr>
      <w:r w:rsidRPr="00DD6DA6">
        <w:rPr>
          <w:color w:val="000000" w:themeColor="text1"/>
        </w:rPr>
        <w:lastRenderedPageBreak/>
        <w:tab/>
      </w:r>
      <w:r w:rsidR="00A40EC5" w:rsidRPr="00294235">
        <w:rPr>
          <w:color w:val="000000" w:themeColor="text1"/>
          <w:position w:val="-18"/>
          <w:lang w:val="en-US"/>
        </w:rPr>
        <w:object w:dxaOrig="5600" w:dyaOrig="480">
          <v:shape id="_x0000_i1032" type="#_x0000_t75" style="width:280.5pt;height:21.75pt" o:ole="">
            <v:imagedata r:id="rId22" o:title=""/>
          </v:shape>
          <o:OLEObject Type="Embed" ProgID="Equation.3" ShapeID="_x0000_i1032" DrawAspect="Content" ObjectID="_1830098914" r:id="rId23"/>
        </w:object>
      </w:r>
      <w:r w:rsidRPr="00294235">
        <w:rPr>
          <w:color w:val="000000" w:themeColor="text1"/>
        </w:rPr>
        <w:tab/>
        <w:t>(5)</w:t>
      </w:r>
    </w:p>
    <w:p w:rsidR="00085F6C" w:rsidRPr="00294235" w:rsidRDefault="00085F6C" w:rsidP="00333948">
      <w:pPr>
        <w:spacing w:after="0" w:line="240" w:lineRule="auto"/>
        <w:jc w:val="both"/>
        <w:rPr>
          <w:rFonts w:ascii="Times New Roman" w:hAnsi="Times New Roman" w:cs="Times New Roman"/>
          <w:color w:val="000000" w:themeColor="text1"/>
          <w:sz w:val="24"/>
          <w:shd w:val="clear" w:color="auto" w:fill="FFFFFF"/>
        </w:rPr>
      </w:pPr>
      <w:r w:rsidRPr="00294235">
        <w:rPr>
          <w:rFonts w:ascii="Times New Roman" w:hAnsi="Times New Roman" w:cs="Times New Roman"/>
          <w:color w:val="000000" w:themeColor="text1"/>
          <w:sz w:val="24"/>
        </w:rPr>
        <w:t>где А, В</w:t>
      </w:r>
      <w:r w:rsidR="003F2337" w:rsidRPr="00294235">
        <w:rPr>
          <w:rFonts w:ascii="Times New Roman" w:hAnsi="Times New Roman" w:cs="Times New Roman"/>
          <w:color w:val="000000" w:themeColor="text1"/>
          <w:sz w:val="24"/>
        </w:rPr>
        <w:t xml:space="preserve"> – </w:t>
      </w:r>
      <w:r w:rsidRPr="00294235">
        <w:rPr>
          <w:rFonts w:ascii="Times New Roman" w:hAnsi="Times New Roman" w:cs="Times New Roman"/>
          <w:color w:val="000000" w:themeColor="text1"/>
          <w:sz w:val="24"/>
        </w:rPr>
        <w:t>содержание пропана и бутана в паровой фазе СУГ, мол %;</w:t>
      </w:r>
      <w:r w:rsidR="00865788" w:rsidRPr="00294235">
        <w:rPr>
          <w:rFonts w:ascii="Times New Roman" w:hAnsi="Times New Roman" w:cs="Times New Roman"/>
          <w:color w:val="000000" w:themeColor="text1"/>
          <w:sz w:val="24"/>
        </w:rPr>
        <w:t xml:space="preserve"> </w:t>
      </w:r>
      <w:r w:rsidR="00865788" w:rsidRPr="00294235">
        <w:rPr>
          <w:color w:val="000000" w:themeColor="text1"/>
          <w:position w:val="-18"/>
        </w:rPr>
        <w:object w:dxaOrig="400" w:dyaOrig="480">
          <v:shape id="_x0000_i1033" type="#_x0000_t75" style="width:21.75pt;height:21.75pt" o:ole="">
            <v:imagedata r:id="rId24" o:title=""/>
          </v:shape>
          <o:OLEObject Type="Embed" ProgID="Equation.3" ShapeID="_x0000_i1033" DrawAspect="Content" ObjectID="_1830098915" r:id="rId25"/>
        </w:object>
      </w:r>
      <w:r w:rsidR="00865788" w:rsidRPr="00294235">
        <w:rPr>
          <w:rFonts w:ascii="Times New Roman" w:hAnsi="Times New Roman" w:cs="Times New Roman"/>
          <w:color w:val="000000" w:themeColor="text1"/>
        </w:rPr>
        <w:t xml:space="preserve"> –</w:t>
      </w:r>
      <w:r w:rsidRPr="00294235">
        <w:rPr>
          <w:rFonts w:ascii="Times New Roman" w:hAnsi="Times New Roman" w:cs="Times New Roman"/>
          <w:color w:val="000000" w:themeColor="text1"/>
          <w:sz w:val="24"/>
        </w:rPr>
        <w:t xml:space="preserve"> плотность паровой фазы пропана при 0</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shd w:val="clear" w:color="auto" w:fill="FFFFFF"/>
        </w:rPr>
        <w:t xml:space="preserve">C; </w:t>
      </w:r>
      <w:r w:rsidR="00865788" w:rsidRPr="00294235">
        <w:rPr>
          <w:color w:val="000000" w:themeColor="text1"/>
          <w:position w:val="-18"/>
        </w:rPr>
        <w:object w:dxaOrig="420" w:dyaOrig="480">
          <v:shape id="_x0000_i1034" type="#_x0000_t75" style="width:21.75pt;height:21.75pt" o:ole="">
            <v:imagedata r:id="rId26" o:title=""/>
          </v:shape>
          <o:OLEObject Type="Embed" ProgID="Equation.3" ShapeID="_x0000_i1034" DrawAspect="Content" ObjectID="_1830098916" r:id="rId27"/>
        </w:objec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 xml:space="preserve"> плотность паровой фазы бутана при 0</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shd w:val="clear" w:color="auto" w:fill="FFFFFF"/>
        </w:rPr>
        <w:t>C;</w:t>
      </w:r>
      <w:r w:rsidR="00865788" w:rsidRPr="00294235">
        <w:rPr>
          <w:rFonts w:ascii="Times New Roman" w:hAnsi="Times New Roman" w:cs="Times New Roman"/>
          <w:color w:val="000000" w:themeColor="text1"/>
          <w:sz w:val="24"/>
          <w:shd w:val="clear" w:color="auto" w:fill="FFFFFF"/>
        </w:rPr>
        <w:t xml:space="preserve"> </w:t>
      </w:r>
      <w:r w:rsidR="00865788" w:rsidRPr="00294235">
        <w:rPr>
          <w:color w:val="000000" w:themeColor="text1"/>
          <w:position w:val="-14"/>
        </w:rPr>
        <w:object w:dxaOrig="400" w:dyaOrig="380">
          <v:shape id="_x0000_i1035" type="#_x0000_t75" style="width:21.75pt;height:14.25pt" o:ole="">
            <v:imagedata r:id="rId28" o:title=""/>
          </v:shape>
          <o:OLEObject Type="Embed" ProgID="Equation.3" ShapeID="_x0000_i1035" DrawAspect="Content" ObjectID="_1830098917" r:id="rId29"/>
        </w:object>
      </w:r>
      <w:r w:rsidRPr="00294235">
        <w:rPr>
          <w:rFonts w:ascii="Times New Roman" w:hAnsi="Times New Roman" w:cs="Times New Roman"/>
          <w:color w:val="000000" w:themeColor="text1"/>
          <w:sz w:val="24"/>
        </w:rPr>
        <w:t xml:space="preserve">, </w:t>
      </w:r>
      <w:r w:rsidR="00865788" w:rsidRPr="00294235">
        <w:rPr>
          <w:color w:val="000000" w:themeColor="text1"/>
          <w:position w:val="-12"/>
        </w:rPr>
        <w:object w:dxaOrig="300" w:dyaOrig="360">
          <v:shape id="_x0000_i1036" type="#_x0000_t75" style="width:14.25pt;height:21.75pt" o:ole="">
            <v:imagedata r:id="rId30" o:title=""/>
          </v:shape>
          <o:OLEObject Type="Embed" ProgID="Equation.3" ShapeID="_x0000_i1036" DrawAspect="Content" ObjectID="_1830098918" r:id="rId31"/>
        </w:objec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 xml:space="preserve"> эмпирические коэффициенты, зависящие от изменения молекулярного веса компонентов,</w:t>
      </w:r>
      <w:r w:rsidR="00865788" w:rsidRPr="00294235">
        <w:rPr>
          <w:rFonts w:ascii="Times New Roman" w:hAnsi="Times New Roman" w:cs="Times New Roman"/>
          <w:color w:val="000000" w:themeColor="text1"/>
          <w:sz w:val="24"/>
        </w:rPr>
        <w:t xml:space="preserve"> </w:t>
      </w:r>
      <w:r w:rsidR="00865788" w:rsidRPr="00294235">
        <w:rPr>
          <w:color w:val="000000" w:themeColor="text1"/>
          <w:position w:val="-14"/>
        </w:rPr>
        <w:object w:dxaOrig="400" w:dyaOrig="380">
          <v:shape id="_x0000_i1037" type="#_x0000_t75" style="width:21.75pt;height:14.25pt" o:ole="">
            <v:imagedata r:id="rId28" o:title=""/>
          </v:shape>
          <o:OLEObject Type="Embed" ProgID="Equation.3" ShapeID="_x0000_i1037" DrawAspect="Content" ObjectID="_1830098919" r:id="rId32"/>
        </w:objec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-13,54</w:t>
      </w:r>
      <w:r w:rsidRPr="00294235">
        <w:rPr>
          <w:rFonts w:ascii="Times New Roman" w:hAnsi="Times New Roman" w:cs="Times New Roman"/>
          <w:color w:val="000000" w:themeColor="text1"/>
          <w:sz w:val="24"/>
        </w:rPr>
        <w:object w:dxaOrig="120" w:dyaOrig="120">
          <v:shape id="_x0000_i1038" type="#_x0000_t75" style="width:7.5pt;height:7.5pt" o:ole="">
            <v:imagedata r:id="rId33" o:title=""/>
          </v:shape>
          <o:OLEObject Type="Embed" ProgID="Equation.3" ShapeID="_x0000_i1038" DrawAspect="Content" ObjectID="_1830098920" r:id="rId34"/>
        </w:object>
      </w:r>
      <w:r w:rsidRPr="00294235">
        <w:rPr>
          <w:rFonts w:ascii="Times New Roman" w:hAnsi="Times New Roman" w:cs="Times New Roman"/>
          <w:color w:val="000000" w:themeColor="text1"/>
          <w:sz w:val="24"/>
        </w:rPr>
        <w:t>10</w:t>
      </w:r>
      <w:r w:rsidRPr="00294235">
        <w:rPr>
          <w:rFonts w:ascii="Times New Roman" w:hAnsi="Times New Roman" w:cs="Times New Roman"/>
          <w:color w:val="000000" w:themeColor="text1"/>
          <w:sz w:val="24"/>
          <w:vertAlign w:val="superscript"/>
        </w:rPr>
        <w:t>-4</w:t>
      </w:r>
      <w:r w:rsidRPr="00294235">
        <w:rPr>
          <w:rFonts w:ascii="Times New Roman" w:hAnsi="Times New Roman" w:cs="Times New Roman"/>
          <w:color w:val="000000" w:themeColor="text1"/>
          <w:sz w:val="24"/>
        </w:rPr>
        <w:t>,</w:t>
      </w:r>
      <w:r w:rsidR="00865788" w:rsidRPr="00294235">
        <w:rPr>
          <w:rFonts w:ascii="Times New Roman" w:hAnsi="Times New Roman" w:cs="Times New Roman"/>
          <w:color w:val="000000" w:themeColor="text1"/>
          <w:sz w:val="24"/>
        </w:rPr>
        <w:t xml:space="preserve"> </w:t>
      </w:r>
      <w:r w:rsidR="00865788" w:rsidRPr="00294235">
        <w:rPr>
          <w:color w:val="000000" w:themeColor="text1"/>
          <w:position w:val="-12"/>
        </w:rPr>
        <w:object w:dxaOrig="300" w:dyaOrig="360">
          <v:shape id="_x0000_i1039" type="#_x0000_t75" style="width:14.25pt;height:21.75pt" o:ole="">
            <v:imagedata r:id="rId30" o:title=""/>
          </v:shape>
          <o:OLEObject Type="Embed" ProgID="Equation.3" ShapeID="_x0000_i1039" DrawAspect="Content" ObjectID="_1830098921" r:id="rId35"/>
        </w:object>
      </w:r>
      <w:r w:rsidR="00865788" w:rsidRPr="00294235">
        <w:rPr>
          <w:color w:val="000000" w:themeColor="text1"/>
        </w:rPr>
        <w:t xml:space="preserve"> </w:t>
      </w:r>
      <w:r w:rsidRPr="00294235">
        <w:rPr>
          <w:rFonts w:ascii="Times New Roman" w:hAnsi="Times New Roman" w:cs="Times New Roman"/>
          <w:color w:val="000000" w:themeColor="text1"/>
          <w:sz w:val="24"/>
        </w:rPr>
        <w:t>=</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-10,68</w:t>
      </w:r>
      <w:r w:rsidRPr="00294235">
        <w:rPr>
          <w:rFonts w:ascii="Times New Roman" w:hAnsi="Times New Roman" w:cs="Times New Roman"/>
          <w:color w:val="000000" w:themeColor="text1"/>
          <w:sz w:val="24"/>
        </w:rPr>
        <w:object w:dxaOrig="120" w:dyaOrig="120">
          <v:shape id="_x0000_i1040" type="#_x0000_t75" style="width:7.5pt;height:7.5pt" o:ole="">
            <v:imagedata r:id="rId33" o:title=""/>
          </v:shape>
          <o:OLEObject Type="Embed" ProgID="Equation.3" ShapeID="_x0000_i1040" DrawAspect="Content" ObjectID="_1830098922" r:id="rId36"/>
        </w:object>
      </w:r>
      <w:r w:rsidRPr="00294235">
        <w:rPr>
          <w:rFonts w:ascii="Times New Roman" w:hAnsi="Times New Roman" w:cs="Times New Roman"/>
          <w:color w:val="000000" w:themeColor="text1"/>
          <w:sz w:val="24"/>
        </w:rPr>
        <w:t>10</w:t>
      </w:r>
      <w:r w:rsidRPr="00294235">
        <w:rPr>
          <w:rFonts w:ascii="Times New Roman" w:hAnsi="Times New Roman" w:cs="Times New Roman"/>
          <w:color w:val="000000" w:themeColor="text1"/>
          <w:sz w:val="24"/>
          <w:vertAlign w:val="superscript"/>
        </w:rPr>
        <w:t>-4</w:t>
      </w:r>
      <w:r w:rsidRPr="00294235">
        <w:rPr>
          <w:rFonts w:ascii="Times New Roman" w:hAnsi="Times New Roman" w:cs="Times New Roman"/>
          <w:color w:val="000000" w:themeColor="text1"/>
          <w:sz w:val="24"/>
        </w:rPr>
        <w:t xml:space="preserve"> [2]; </w:t>
      </w:r>
      <w:r w:rsidRPr="00294235">
        <w:rPr>
          <w:rFonts w:ascii="Times New Roman" w:hAnsi="Times New Roman" w:cs="Times New Roman"/>
          <w:color w:val="000000" w:themeColor="text1"/>
          <w:sz w:val="24"/>
          <w:shd w:val="clear" w:color="auto" w:fill="FFFFFF"/>
        </w:rPr>
        <w:t>Т, Т</w:t>
      </w:r>
      <w:r w:rsidRPr="00294235">
        <w:rPr>
          <w:rFonts w:ascii="Times New Roman" w:hAnsi="Times New Roman" w:cs="Times New Roman"/>
          <w:color w:val="000000" w:themeColor="text1"/>
          <w:sz w:val="24"/>
          <w:shd w:val="clear" w:color="auto" w:fill="FFFFFF"/>
          <w:vertAlign w:val="subscript"/>
        </w:rPr>
        <w:t>0</w:t>
      </w:r>
      <w:r w:rsidRPr="00294235">
        <w:rPr>
          <w:rFonts w:ascii="Times New Roman" w:hAnsi="Times New Roman" w:cs="Times New Roman"/>
          <w:color w:val="000000" w:themeColor="text1"/>
          <w:sz w:val="24"/>
          <w:shd w:val="clear" w:color="auto" w:fill="FFFFFF"/>
        </w:rPr>
        <w:t xml:space="preserve"> </w:t>
      </w:r>
      <w:r w:rsidRPr="00294235">
        <w:rPr>
          <w:rFonts w:ascii="Times New Roman" w:hAnsi="Times New Roman" w:cs="Times New Roman"/>
          <w:color w:val="000000" w:themeColor="text1"/>
          <w:sz w:val="24"/>
        </w:rPr>
        <w:t>– абсолютные температуры при 0</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shd w:val="clear" w:color="auto" w:fill="FFFFFF"/>
        </w:rPr>
        <w:t>C и рассматриваемой температуры газа, К.</w:t>
      </w:r>
    </w:p>
    <w:p w:rsidR="00085F6C" w:rsidRPr="00294235" w:rsidRDefault="00085F6C" w:rsidP="00865788">
      <w:pPr>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Газопротребление газовой плитой обуславливается мощностью газогорелочных устройств на панели и духового шкафа, суммарно составляющая 9,6 кВт. С учетом теплотворной способности сжиженного углеводородного газа и плотности паровой фазы, определяемой по формуле (5) обеспечение заявленной мощности требует 0,315 м</w:t>
      </w:r>
      <w:r w:rsidRPr="00294235">
        <w:rPr>
          <w:rFonts w:ascii="Times New Roman" w:hAnsi="Times New Roman" w:cs="Times New Roman"/>
          <w:color w:val="000000" w:themeColor="text1"/>
          <w:sz w:val="24"/>
          <w:vertAlign w:val="superscript"/>
        </w:rPr>
        <w:t>3</w:t>
      </w:r>
      <w:r w:rsidRPr="00294235">
        <w:rPr>
          <w:rFonts w:ascii="Times New Roman" w:hAnsi="Times New Roman" w:cs="Times New Roman"/>
          <w:color w:val="000000" w:themeColor="text1"/>
          <w:sz w:val="24"/>
        </w:rPr>
        <w:t>/ч или 0,7 кг/ч, при этом минимальная работа газовой плиты с одной конфоркой на 0,6 кВт требует 0,043 кг/ч. Принимая во внимание среднее время работы газовой плиты в сутки с учетом выходных и праздничных дней, требования к остаточному уровню заполнения баллонов газом и объем паровой фазы при регазификации СУГ получим время работы газового баллона (табл.</w:t>
      </w:r>
      <w:r w:rsidR="003D4B29"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3).</w:t>
      </w:r>
    </w:p>
    <w:p w:rsidR="00F55EF3" w:rsidRPr="00294235" w:rsidRDefault="00F55EF3" w:rsidP="00333948">
      <w:pPr>
        <w:spacing w:after="0" w:line="240" w:lineRule="auto"/>
        <w:ind w:firstLine="284"/>
        <w:jc w:val="right"/>
        <w:rPr>
          <w:rFonts w:ascii="Times New Roman" w:hAnsi="Times New Roman" w:cs="Times New Roman"/>
          <w:color w:val="000000" w:themeColor="text1"/>
        </w:rPr>
      </w:pPr>
    </w:p>
    <w:p w:rsidR="00085F6C" w:rsidRPr="00294235" w:rsidRDefault="00085F6C" w:rsidP="00333948">
      <w:pPr>
        <w:spacing w:after="0" w:line="240" w:lineRule="auto"/>
        <w:ind w:firstLine="284"/>
        <w:jc w:val="right"/>
        <w:rPr>
          <w:rFonts w:ascii="Times New Roman" w:hAnsi="Times New Roman" w:cs="Times New Roman"/>
          <w:color w:val="000000" w:themeColor="text1"/>
        </w:rPr>
      </w:pPr>
      <w:r w:rsidRPr="00294235">
        <w:rPr>
          <w:rFonts w:ascii="Times New Roman" w:hAnsi="Times New Roman" w:cs="Times New Roman"/>
          <w:color w:val="000000" w:themeColor="text1"/>
        </w:rPr>
        <w:t>Таблица 3</w:t>
      </w:r>
    </w:p>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 xml:space="preserve">Время работы газового баллона </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329"/>
        <w:gridCol w:w="1329"/>
        <w:gridCol w:w="1329"/>
        <w:gridCol w:w="1329"/>
        <w:gridCol w:w="1335"/>
      </w:tblGrid>
      <w:tr w:rsidR="00085F6C" w:rsidRPr="00294235" w:rsidTr="00865788">
        <w:trPr>
          <w:trHeight w:val="300"/>
          <w:jc w:val="center"/>
        </w:trPr>
        <w:tc>
          <w:tcPr>
            <w:tcW w:w="1322" w:type="pct"/>
            <w:vMerge w:val="restart"/>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Геометрический объем баллона, л</w:t>
            </w:r>
          </w:p>
        </w:tc>
        <w:tc>
          <w:tcPr>
            <w:tcW w:w="3678" w:type="pct"/>
            <w:gridSpan w:val="5"/>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Время работы баллона, сут</w:t>
            </w:r>
          </w:p>
        </w:tc>
      </w:tr>
      <w:tr w:rsidR="00085F6C" w:rsidRPr="00294235" w:rsidTr="00865788">
        <w:trPr>
          <w:trHeight w:val="300"/>
          <w:jc w:val="center"/>
        </w:trPr>
        <w:tc>
          <w:tcPr>
            <w:tcW w:w="1322" w:type="pct"/>
            <w:vMerge/>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p>
        </w:tc>
        <w:tc>
          <w:tcPr>
            <w:tcW w:w="3678" w:type="pct"/>
            <w:gridSpan w:val="5"/>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Сжиженные газы, заполняющие баллон</w:t>
            </w:r>
          </w:p>
        </w:tc>
      </w:tr>
      <w:tr w:rsidR="00085F6C" w:rsidRPr="00294235" w:rsidTr="00865788">
        <w:trPr>
          <w:trHeight w:val="300"/>
          <w:jc w:val="center"/>
        </w:trPr>
        <w:tc>
          <w:tcPr>
            <w:tcW w:w="1322" w:type="pct"/>
            <w:vMerge/>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ПТ</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ПБТ</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БТ</w:t>
            </w:r>
          </w:p>
        </w:tc>
        <w:tc>
          <w:tcPr>
            <w:tcW w:w="736"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Б</w:t>
            </w:r>
          </w:p>
        </w:tc>
      </w:tr>
      <w:tr w:rsidR="00085F6C" w:rsidRPr="00294235" w:rsidTr="00865788">
        <w:trPr>
          <w:trHeight w:val="300"/>
          <w:jc w:val="center"/>
        </w:trPr>
        <w:tc>
          <w:tcPr>
            <w:tcW w:w="1322" w:type="pct"/>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12,7</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5,61</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5,51</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5,4</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5,3</w:t>
            </w:r>
          </w:p>
        </w:tc>
        <w:tc>
          <w:tcPr>
            <w:tcW w:w="736"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5,2</w:t>
            </w:r>
          </w:p>
        </w:tc>
      </w:tr>
      <w:tr w:rsidR="00085F6C" w:rsidRPr="00294235" w:rsidTr="00865788">
        <w:trPr>
          <w:trHeight w:val="300"/>
          <w:jc w:val="center"/>
        </w:trPr>
        <w:tc>
          <w:tcPr>
            <w:tcW w:w="1322" w:type="pct"/>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24,5</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10,82</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10,66</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10,47</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10,27</w:t>
            </w:r>
          </w:p>
        </w:tc>
        <w:tc>
          <w:tcPr>
            <w:tcW w:w="736"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10,05</w:t>
            </w:r>
          </w:p>
        </w:tc>
      </w:tr>
      <w:tr w:rsidR="00085F6C" w:rsidRPr="00294235" w:rsidTr="00865788">
        <w:trPr>
          <w:trHeight w:val="300"/>
          <w:jc w:val="center"/>
        </w:trPr>
        <w:tc>
          <w:tcPr>
            <w:tcW w:w="1322" w:type="pct"/>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47</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20,8</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20,5</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20,12</w:t>
            </w:r>
          </w:p>
        </w:tc>
        <w:tc>
          <w:tcPr>
            <w:tcW w:w="735"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19,7</w:t>
            </w:r>
          </w:p>
        </w:tc>
        <w:tc>
          <w:tcPr>
            <w:tcW w:w="736" w:type="pct"/>
            <w:shd w:val="clear" w:color="auto" w:fill="auto"/>
            <w:noWrap/>
            <w:vAlign w:val="center"/>
          </w:tcPr>
          <w:p w:rsidR="00085F6C" w:rsidRPr="00294235" w:rsidRDefault="00085F6C" w:rsidP="00865788">
            <w:pPr>
              <w:spacing w:after="0" w:line="240" w:lineRule="auto"/>
              <w:jc w:val="center"/>
              <w:rPr>
                <w:rFonts w:ascii="Times New Roman" w:hAnsi="Times New Roman" w:cs="Times New Roman"/>
                <w:color w:val="000000" w:themeColor="text1"/>
              </w:rPr>
            </w:pPr>
            <w:r w:rsidRPr="00294235">
              <w:rPr>
                <w:rFonts w:ascii="Times New Roman" w:hAnsi="Times New Roman" w:cs="Times New Roman"/>
                <w:color w:val="000000" w:themeColor="text1"/>
              </w:rPr>
              <w:t>19,28</w:t>
            </w:r>
          </w:p>
        </w:tc>
      </w:tr>
    </w:tbl>
    <w:p w:rsidR="00085F6C" w:rsidRPr="00294235" w:rsidRDefault="00085F6C" w:rsidP="00333948">
      <w:pPr>
        <w:spacing w:after="0" w:line="240" w:lineRule="auto"/>
        <w:ind w:firstLine="284"/>
        <w:rPr>
          <w:rFonts w:ascii="Times New Roman" w:hAnsi="Times New Roman" w:cs="Times New Roman"/>
          <w:color w:val="000000" w:themeColor="text1"/>
        </w:rPr>
      </w:pPr>
    </w:p>
    <w:p w:rsidR="00085F6C" w:rsidRPr="00294235" w:rsidRDefault="00085F6C" w:rsidP="00865788">
      <w:pPr>
        <w:autoSpaceDE w:val="0"/>
        <w:autoSpaceDN w:val="0"/>
        <w:adjustRightInd w:val="0"/>
        <w:spacing w:after="0" w:line="240" w:lineRule="auto"/>
        <w:ind w:firstLine="709"/>
        <w:jc w:val="both"/>
        <w:rPr>
          <w:rFonts w:ascii="Times New Roman" w:hAnsi="Times New Roman" w:cs="Times New Roman"/>
          <w:color w:val="000000" w:themeColor="text1"/>
          <w:sz w:val="24"/>
        </w:rPr>
      </w:pPr>
      <w:r w:rsidRPr="00294235">
        <w:rPr>
          <w:rFonts w:ascii="Times New Roman" w:hAnsi="Times New Roman" w:cs="Times New Roman"/>
          <w:color w:val="000000" w:themeColor="text1"/>
          <w:sz w:val="24"/>
        </w:rPr>
        <w:t>Как видно из табл.</w:t>
      </w:r>
      <w:r w:rsidR="00B04F4A"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4</w:t>
      </w:r>
      <w:r w:rsidR="00B04F4A"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количество суток использования газа значительно зависит об объема сосуда, при этом колебания между марками газа и компонентным содержанием пропана и бутана не превышает 3,8</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в пределах использования наиболее распро</w:t>
      </w:r>
      <w:r w:rsidR="00865788" w:rsidRPr="00294235">
        <w:rPr>
          <w:rFonts w:ascii="Times New Roman" w:hAnsi="Times New Roman" w:cs="Times New Roman"/>
          <w:color w:val="000000" w:themeColor="text1"/>
          <w:sz w:val="24"/>
        </w:rPr>
        <w:t xml:space="preserve">странённых марок газа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Пропан технический</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xml:space="preserve"> и </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Бутан технический</w:t>
      </w:r>
      <w:r w:rsidR="00BC1F0F" w:rsidRPr="00294235">
        <w:rPr>
          <w:rFonts w:ascii="Times New Roman" w:hAnsi="Times New Roman" w:cs="Times New Roman"/>
          <w:color w:val="000000" w:themeColor="text1"/>
          <w:sz w:val="24"/>
        </w:rPr>
        <w:t>»</w:t>
      </w:r>
      <w:r w:rsidRPr="00294235">
        <w:rPr>
          <w:rFonts w:ascii="Times New Roman" w:hAnsi="Times New Roman" w:cs="Times New Roman"/>
          <w:color w:val="000000" w:themeColor="text1"/>
          <w:sz w:val="24"/>
        </w:rPr>
        <w:t>. В то же время при заправке баллона с ориентацией на компонент пропан происходит дополнительное снижение массы газа в размере 6,8</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(табл.</w:t>
      </w:r>
      <w:r w:rsidR="00865788" w:rsidRPr="00294235">
        <w:rPr>
          <w:rFonts w:ascii="Times New Roman" w:hAnsi="Times New Roman" w:cs="Times New Roman"/>
          <w:color w:val="000000" w:themeColor="text1"/>
          <w:sz w:val="24"/>
        </w:rPr>
        <w:t xml:space="preserve"> </w:t>
      </w:r>
      <w:r w:rsidRPr="00294235">
        <w:rPr>
          <w:rFonts w:ascii="Times New Roman" w:hAnsi="Times New Roman" w:cs="Times New Roman"/>
          <w:color w:val="000000" w:themeColor="text1"/>
          <w:sz w:val="24"/>
        </w:rPr>
        <w:t>2), что обусловит снижение времени эксплуатации на 10,6</w:t>
      </w:r>
      <w:r w:rsidR="00865788" w:rsidRPr="00294235">
        <w:rPr>
          <w:rFonts w:ascii="Times New Roman" w:hAnsi="Times New Roman" w:cs="Times New Roman"/>
          <w:color w:val="000000" w:themeColor="text1"/>
          <w:sz w:val="24"/>
        </w:rPr>
        <w:t> </w:t>
      </w:r>
      <w:r w:rsidRPr="00294235">
        <w:rPr>
          <w:rFonts w:ascii="Times New Roman" w:hAnsi="Times New Roman" w:cs="Times New Roman"/>
          <w:color w:val="000000" w:themeColor="text1"/>
          <w:sz w:val="24"/>
        </w:rPr>
        <w:t>%, что составит для газового баллона 47 литров порядка 2 суток.</w:t>
      </w:r>
    </w:p>
    <w:p w:rsidR="00085F6C" w:rsidRPr="00294235" w:rsidRDefault="00085F6C" w:rsidP="00865788">
      <w:pPr>
        <w:autoSpaceDE w:val="0"/>
        <w:autoSpaceDN w:val="0"/>
        <w:adjustRightInd w:val="0"/>
        <w:spacing w:after="0" w:line="240" w:lineRule="auto"/>
        <w:ind w:firstLine="709"/>
        <w:jc w:val="both"/>
        <w:rPr>
          <w:rFonts w:ascii="Times New Roman" w:hAnsi="Times New Roman" w:cs="Times New Roman"/>
          <w:b/>
          <w:bCs/>
          <w:color w:val="000000" w:themeColor="text1"/>
          <w:sz w:val="24"/>
        </w:rPr>
      </w:pPr>
      <w:r w:rsidRPr="00294235">
        <w:rPr>
          <w:rFonts w:ascii="Times New Roman" w:hAnsi="Times New Roman" w:cs="Times New Roman"/>
          <w:b/>
          <w:bCs/>
          <w:color w:val="000000" w:themeColor="text1"/>
          <w:sz w:val="24"/>
        </w:rPr>
        <w:t>Выводы</w:t>
      </w:r>
    </w:p>
    <w:p w:rsidR="00085F6C" w:rsidRPr="00294235" w:rsidRDefault="00085F6C" w:rsidP="00865788">
      <w:pPr>
        <w:autoSpaceDE w:val="0"/>
        <w:autoSpaceDN w:val="0"/>
        <w:adjustRightInd w:val="0"/>
        <w:spacing w:after="0" w:line="240" w:lineRule="auto"/>
        <w:ind w:firstLine="709"/>
        <w:jc w:val="both"/>
        <w:rPr>
          <w:rFonts w:ascii="Times New Roman" w:eastAsia="Calibri" w:hAnsi="Times New Roman" w:cs="Times New Roman"/>
          <w:color w:val="000000" w:themeColor="text1"/>
          <w:sz w:val="24"/>
        </w:rPr>
      </w:pPr>
      <w:r w:rsidRPr="00294235">
        <w:rPr>
          <w:rFonts w:ascii="Times New Roman" w:eastAsia="Calibri" w:hAnsi="Times New Roman" w:cs="Times New Roman"/>
          <w:color w:val="000000" w:themeColor="text1"/>
          <w:sz w:val="24"/>
        </w:rPr>
        <w:t>Проведенные исследования установили, что при заполнении баллонов жидкой фазой СУГ различного компонентного состава необходимо ориентироваться не на уровень заполнения, а на массу заполненного баллона, т.</w:t>
      </w:r>
      <w:r w:rsidR="00865788" w:rsidRPr="00294235">
        <w:rPr>
          <w:rFonts w:ascii="Times New Roman" w:eastAsia="Calibri" w:hAnsi="Times New Roman" w:cs="Times New Roman"/>
          <w:color w:val="000000" w:themeColor="text1"/>
          <w:sz w:val="24"/>
        </w:rPr>
        <w:t> </w:t>
      </w:r>
      <w:r w:rsidRPr="00294235">
        <w:rPr>
          <w:rFonts w:ascii="Times New Roman" w:eastAsia="Calibri" w:hAnsi="Times New Roman" w:cs="Times New Roman"/>
          <w:color w:val="000000" w:themeColor="text1"/>
          <w:sz w:val="24"/>
        </w:rPr>
        <w:t>е. проводить контрольное взвешивание. Учет данного обстоятельства поможет избежать недолива газа в баллоны в</w:t>
      </w:r>
      <w:r w:rsidR="00865788" w:rsidRPr="00294235">
        <w:rPr>
          <w:rFonts w:ascii="Times New Roman" w:eastAsia="Calibri" w:hAnsi="Times New Roman" w:cs="Times New Roman"/>
          <w:color w:val="000000" w:themeColor="text1"/>
          <w:sz w:val="24"/>
        </w:rPr>
        <w:t> </w:t>
      </w:r>
      <w:r w:rsidRPr="00294235">
        <w:rPr>
          <w:rFonts w:ascii="Times New Roman" w:eastAsia="Calibri" w:hAnsi="Times New Roman" w:cs="Times New Roman"/>
          <w:color w:val="000000" w:themeColor="text1"/>
          <w:sz w:val="24"/>
        </w:rPr>
        <w:t>теплый период и перелива газа в холодный период года.</w:t>
      </w:r>
    </w:p>
    <w:p w:rsidR="00085F6C" w:rsidRPr="00294235" w:rsidRDefault="00085F6C" w:rsidP="00865788">
      <w:pPr>
        <w:autoSpaceDE w:val="0"/>
        <w:autoSpaceDN w:val="0"/>
        <w:adjustRightInd w:val="0"/>
        <w:spacing w:after="0" w:line="240" w:lineRule="auto"/>
        <w:ind w:firstLine="709"/>
        <w:jc w:val="both"/>
        <w:rPr>
          <w:rFonts w:ascii="Times New Roman" w:eastAsia="Calibri" w:hAnsi="Times New Roman" w:cs="Times New Roman"/>
          <w:color w:val="000000" w:themeColor="text1"/>
          <w:sz w:val="24"/>
        </w:rPr>
      </w:pPr>
      <w:r w:rsidRPr="00294235">
        <w:rPr>
          <w:rFonts w:ascii="Times New Roman" w:eastAsia="Calibri" w:hAnsi="Times New Roman" w:cs="Times New Roman"/>
          <w:color w:val="000000" w:themeColor="text1"/>
          <w:sz w:val="24"/>
        </w:rPr>
        <w:t>Получены рекомендуемые коэффициенты заполнения баллонов по массе, которые уточняют количество газа в баллоне, тем самым увеличивая полезное использование газа до 2 суток с одного баллона. При требовании нормативной литературы, по индивидуальной установке баллонов у потребителей с одним основным и одним резервным, а также при условии эксплуатации групповых баллонных установок наиболее распространенного объема баллонов 47 литров, увеличение использования газа будет кратно 2 суткам, что позволит обеспечить потребителя пролонгированным сроком использования баллонов.</w:t>
      </w:r>
    </w:p>
    <w:p w:rsidR="00085F6C" w:rsidRPr="00294235" w:rsidRDefault="00085F6C" w:rsidP="00865788">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rsidR="00085F6C" w:rsidRPr="00294235" w:rsidRDefault="00542D98" w:rsidP="0086578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294235">
        <w:rPr>
          <w:rFonts w:ascii="Times New Roman" w:hAnsi="Times New Roman" w:cs="Times New Roman"/>
          <w:b/>
          <w:bCs/>
          <w:color w:val="000000" w:themeColor="text1"/>
          <w:sz w:val="24"/>
          <w:szCs w:val="24"/>
        </w:rPr>
        <w:lastRenderedPageBreak/>
        <w:t>СПИСОК ИСТОЧНИКОВ</w:t>
      </w:r>
    </w:p>
    <w:p w:rsidR="00085F6C" w:rsidRPr="00294235" w:rsidRDefault="00085F6C" w:rsidP="00865788">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085F6C" w:rsidRPr="00294235" w:rsidRDefault="00085F6C" w:rsidP="0033394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94235">
        <w:rPr>
          <w:rFonts w:ascii="Times New Roman" w:eastAsia="Calibri" w:hAnsi="Times New Roman" w:cs="Times New Roman"/>
          <w:color w:val="000000" w:themeColor="text1"/>
          <w:sz w:val="24"/>
          <w:szCs w:val="24"/>
        </w:rPr>
        <w:t>1.</w:t>
      </w:r>
      <w:r w:rsidR="00865788" w:rsidRPr="00294235">
        <w:rPr>
          <w:rFonts w:ascii="Times New Roman" w:eastAsia="Calibri" w:hAnsi="Times New Roman" w:cs="Times New Roman"/>
          <w:color w:val="000000" w:themeColor="text1"/>
          <w:sz w:val="24"/>
          <w:szCs w:val="24"/>
        </w:rPr>
        <w:t> </w:t>
      </w:r>
      <w:r w:rsidRPr="00294235">
        <w:rPr>
          <w:rFonts w:ascii="Times New Roman" w:eastAsia="Calibri" w:hAnsi="Times New Roman" w:cs="Times New Roman"/>
          <w:color w:val="000000" w:themeColor="text1"/>
          <w:sz w:val="24"/>
          <w:szCs w:val="24"/>
        </w:rPr>
        <w:t>Стаскевич Н.Л.</w:t>
      </w:r>
      <w:r w:rsidR="00DB6244" w:rsidRPr="00294235">
        <w:rPr>
          <w:rFonts w:ascii="Times New Roman" w:eastAsia="Calibri" w:hAnsi="Times New Roman" w:cs="Times New Roman"/>
          <w:color w:val="000000" w:themeColor="text1"/>
          <w:sz w:val="24"/>
          <w:szCs w:val="24"/>
        </w:rPr>
        <w:t>,</w:t>
      </w:r>
      <w:r w:rsidRPr="00294235">
        <w:rPr>
          <w:rFonts w:ascii="Times New Roman" w:eastAsia="Calibri" w:hAnsi="Times New Roman" w:cs="Times New Roman"/>
          <w:color w:val="000000" w:themeColor="text1"/>
          <w:sz w:val="24"/>
          <w:szCs w:val="24"/>
        </w:rPr>
        <w:t xml:space="preserve"> </w:t>
      </w:r>
      <w:r w:rsidR="00DB6244" w:rsidRPr="00294235">
        <w:rPr>
          <w:rFonts w:ascii="Times New Roman" w:eastAsia="Calibri" w:hAnsi="Times New Roman" w:cs="Times New Roman"/>
          <w:color w:val="000000" w:themeColor="text1"/>
          <w:sz w:val="24"/>
          <w:szCs w:val="24"/>
        </w:rPr>
        <w:t xml:space="preserve">Вигдорчик Д.Я. </w:t>
      </w:r>
      <w:r w:rsidRPr="00294235">
        <w:rPr>
          <w:rFonts w:ascii="Times New Roman" w:eastAsia="Calibri" w:hAnsi="Times New Roman" w:cs="Times New Roman"/>
          <w:color w:val="000000" w:themeColor="text1"/>
          <w:sz w:val="24"/>
          <w:szCs w:val="24"/>
        </w:rPr>
        <w:t>Справочник по сжиженным углеводородным газам. – Л</w:t>
      </w:r>
      <w:r w:rsidR="00DB6244" w:rsidRPr="00294235">
        <w:rPr>
          <w:rFonts w:ascii="Times New Roman" w:eastAsia="Calibri" w:hAnsi="Times New Roman" w:cs="Times New Roman"/>
          <w:color w:val="000000" w:themeColor="text1"/>
          <w:sz w:val="24"/>
          <w:szCs w:val="24"/>
        </w:rPr>
        <w:t>енинград</w:t>
      </w:r>
      <w:r w:rsidRPr="00294235">
        <w:rPr>
          <w:rFonts w:ascii="Times New Roman" w:eastAsia="Calibri" w:hAnsi="Times New Roman" w:cs="Times New Roman"/>
          <w:color w:val="000000" w:themeColor="text1"/>
          <w:sz w:val="24"/>
          <w:szCs w:val="24"/>
        </w:rPr>
        <w:t>: Недра, 1986. – 543 с.</w:t>
      </w:r>
    </w:p>
    <w:p w:rsidR="00085F6C" w:rsidRPr="00294235" w:rsidRDefault="00085F6C" w:rsidP="00333948">
      <w:pPr>
        <w:spacing w:after="0" w:line="240" w:lineRule="auto"/>
        <w:ind w:firstLine="567"/>
        <w:jc w:val="both"/>
        <w:rPr>
          <w:rFonts w:ascii="Times New Roman" w:eastAsia="Calibri" w:hAnsi="Times New Roman" w:cs="Times New Roman"/>
          <w:color w:val="000000" w:themeColor="text1"/>
          <w:sz w:val="24"/>
          <w:szCs w:val="24"/>
        </w:rPr>
      </w:pPr>
      <w:r w:rsidRPr="00294235">
        <w:rPr>
          <w:rFonts w:ascii="Times New Roman" w:hAnsi="Times New Roman" w:cs="Times New Roman"/>
          <w:color w:val="000000" w:themeColor="text1"/>
          <w:sz w:val="24"/>
          <w:szCs w:val="24"/>
        </w:rPr>
        <w:t>2.</w:t>
      </w:r>
      <w:r w:rsidR="00865788"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HPC Research s.r.o., Horní Bříza, Чешская Республика.</w:t>
      </w:r>
      <w:r w:rsidRPr="00294235">
        <w:rPr>
          <w:rFonts w:ascii="Times New Roman" w:eastAsia="Calibri"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25 с. www.hpcr.cz</w:t>
      </w:r>
      <w:r w:rsidR="00865788" w:rsidRPr="00294235">
        <w:rPr>
          <w:rFonts w:ascii="Times New Roman" w:hAnsi="Times New Roman" w:cs="Times New Roman"/>
          <w:color w:val="000000" w:themeColor="text1"/>
          <w:sz w:val="24"/>
          <w:szCs w:val="24"/>
        </w:rPr>
        <w:t>.</w:t>
      </w:r>
    </w:p>
    <w:p w:rsidR="00085F6C" w:rsidRPr="00294235" w:rsidRDefault="00085F6C" w:rsidP="00333948">
      <w:pPr>
        <w:autoSpaceDE w:val="0"/>
        <w:autoSpaceDN w:val="0"/>
        <w:adjustRightInd w:val="0"/>
        <w:spacing w:after="0" w:line="240" w:lineRule="auto"/>
        <w:ind w:firstLine="567"/>
        <w:jc w:val="both"/>
        <w:rPr>
          <w:rFonts w:ascii="Times New Roman" w:hAnsi="Times New Roman" w:cs="Times New Roman"/>
          <w:color w:val="000000" w:themeColor="text1"/>
          <w:spacing w:val="-4"/>
          <w:sz w:val="24"/>
          <w:szCs w:val="24"/>
        </w:rPr>
      </w:pPr>
      <w:r w:rsidRPr="00294235">
        <w:rPr>
          <w:rFonts w:ascii="Times New Roman" w:eastAsia="Calibri" w:hAnsi="Times New Roman" w:cs="Times New Roman"/>
          <w:color w:val="000000" w:themeColor="text1"/>
          <w:sz w:val="24"/>
          <w:szCs w:val="24"/>
        </w:rPr>
        <w:t>3</w:t>
      </w:r>
      <w:r w:rsidRPr="00294235">
        <w:rPr>
          <w:rFonts w:ascii="Times New Roman" w:eastAsia="Calibri" w:hAnsi="Times New Roman" w:cs="Times New Roman"/>
          <w:color w:val="000000" w:themeColor="text1"/>
          <w:spacing w:val="-4"/>
          <w:sz w:val="24"/>
          <w:szCs w:val="24"/>
        </w:rPr>
        <w:t>.</w:t>
      </w:r>
      <w:r w:rsidR="00865788" w:rsidRPr="00294235">
        <w:rPr>
          <w:rFonts w:ascii="Times New Roman" w:eastAsia="Calibri" w:hAnsi="Times New Roman" w:cs="Times New Roman"/>
          <w:color w:val="000000" w:themeColor="text1"/>
          <w:spacing w:val="-4"/>
          <w:sz w:val="24"/>
          <w:szCs w:val="24"/>
        </w:rPr>
        <w:t> </w:t>
      </w:r>
      <w:r w:rsidRPr="00294235">
        <w:rPr>
          <w:rFonts w:ascii="Times New Roman" w:eastAsia="Calibri" w:hAnsi="Times New Roman" w:cs="Times New Roman"/>
          <w:color w:val="000000" w:themeColor="text1"/>
          <w:spacing w:val="-4"/>
          <w:sz w:val="24"/>
          <w:szCs w:val="24"/>
        </w:rPr>
        <w:t>Клименко А.П. Сжиженные углеводородные газы. – М</w:t>
      </w:r>
      <w:r w:rsidR="00DB6244" w:rsidRPr="00294235">
        <w:rPr>
          <w:rFonts w:ascii="Times New Roman" w:eastAsia="Calibri" w:hAnsi="Times New Roman" w:cs="Times New Roman"/>
          <w:color w:val="000000" w:themeColor="text1"/>
          <w:spacing w:val="-4"/>
          <w:sz w:val="24"/>
          <w:szCs w:val="24"/>
        </w:rPr>
        <w:t>осква</w:t>
      </w:r>
      <w:r w:rsidRPr="00294235">
        <w:rPr>
          <w:rFonts w:ascii="Times New Roman" w:eastAsia="Calibri" w:hAnsi="Times New Roman" w:cs="Times New Roman"/>
          <w:color w:val="000000" w:themeColor="text1"/>
          <w:spacing w:val="-4"/>
          <w:sz w:val="24"/>
          <w:szCs w:val="24"/>
        </w:rPr>
        <w:t>: Гостехиздат, 1962. – 429 с.</w:t>
      </w:r>
    </w:p>
    <w:p w:rsidR="00085F6C" w:rsidRPr="00294235" w:rsidRDefault="00085F6C" w:rsidP="00333948">
      <w:pPr>
        <w:spacing w:after="0" w:line="240" w:lineRule="auto"/>
        <w:ind w:firstLine="567"/>
        <w:jc w:val="both"/>
        <w:outlineLvl w:val="0"/>
        <w:rPr>
          <w:rFonts w:ascii="Times New Roman" w:hAnsi="Times New Roman" w:cs="Times New Roman"/>
          <w:bCs/>
          <w:color w:val="000000" w:themeColor="text1"/>
          <w:kern w:val="36"/>
          <w:sz w:val="24"/>
          <w:szCs w:val="24"/>
        </w:rPr>
      </w:pPr>
      <w:r w:rsidRPr="00294235">
        <w:rPr>
          <w:rFonts w:ascii="Times New Roman" w:eastAsia="Calibri" w:hAnsi="Times New Roman" w:cs="Times New Roman"/>
          <w:color w:val="000000" w:themeColor="text1"/>
          <w:sz w:val="24"/>
          <w:szCs w:val="24"/>
        </w:rPr>
        <w:t>4.</w:t>
      </w:r>
      <w:r w:rsidR="00865788" w:rsidRPr="00294235">
        <w:rPr>
          <w:rFonts w:ascii="Times New Roman" w:eastAsia="Calibri" w:hAnsi="Times New Roman" w:cs="Times New Roman"/>
          <w:color w:val="000000" w:themeColor="text1"/>
          <w:sz w:val="24"/>
          <w:szCs w:val="24"/>
        </w:rPr>
        <w:t> </w:t>
      </w:r>
      <w:r w:rsidRPr="00294235">
        <w:rPr>
          <w:rFonts w:ascii="Times New Roman" w:eastAsia="Calibri" w:hAnsi="Times New Roman" w:cs="Times New Roman"/>
          <w:color w:val="000000" w:themeColor="text1"/>
          <w:sz w:val="24"/>
          <w:szCs w:val="24"/>
        </w:rPr>
        <w:t xml:space="preserve">СП 62.13330.2011*. </w:t>
      </w:r>
      <w:r w:rsidRPr="00294235">
        <w:rPr>
          <w:rFonts w:ascii="Times New Roman" w:eastAsia="Calibri" w:hAnsi="Times New Roman" w:cs="Times New Roman"/>
          <w:bCs/>
          <w:color w:val="000000" w:themeColor="text1"/>
          <w:sz w:val="24"/>
          <w:szCs w:val="24"/>
        </w:rPr>
        <w:t>Свод правил</w:t>
      </w:r>
      <w:r w:rsidRPr="00294235">
        <w:rPr>
          <w:rFonts w:ascii="Times New Roman" w:eastAsia="Calibri" w:hAnsi="Times New Roman" w:cs="Times New Roman"/>
          <w:color w:val="000000" w:themeColor="text1"/>
          <w:sz w:val="24"/>
          <w:szCs w:val="24"/>
        </w:rPr>
        <w:t xml:space="preserve">. </w:t>
      </w:r>
      <w:r w:rsidRPr="00294235">
        <w:rPr>
          <w:rFonts w:ascii="Times New Roman" w:eastAsia="Calibri" w:hAnsi="Times New Roman" w:cs="Times New Roman"/>
          <w:bCs/>
          <w:color w:val="000000" w:themeColor="text1"/>
          <w:sz w:val="24"/>
          <w:szCs w:val="24"/>
        </w:rPr>
        <w:t>Газораспределительные системы</w:t>
      </w:r>
      <w:r w:rsidRPr="00294235">
        <w:rPr>
          <w:rFonts w:ascii="Times New Roman" w:eastAsia="Calibri" w:hAnsi="Times New Roman" w:cs="Times New Roman"/>
          <w:color w:val="000000" w:themeColor="text1"/>
          <w:sz w:val="24"/>
          <w:szCs w:val="24"/>
        </w:rPr>
        <w:t>. Актуализированная редакция</w:t>
      </w:r>
      <w:r w:rsidR="00865788" w:rsidRPr="00294235">
        <w:rPr>
          <w:rFonts w:ascii="Times New Roman" w:eastAsia="Calibri" w:hAnsi="Times New Roman" w:cs="Times New Roman"/>
          <w:color w:val="000000" w:themeColor="text1"/>
          <w:sz w:val="24"/>
          <w:szCs w:val="24"/>
        </w:rPr>
        <w:t xml:space="preserve"> СНиП 42-01-2002. С изменением №</w:t>
      </w:r>
      <w:r w:rsidRPr="00294235">
        <w:rPr>
          <w:rFonts w:ascii="Times New Roman" w:eastAsia="Calibri" w:hAnsi="Times New Roman" w:cs="Times New Roman"/>
          <w:color w:val="000000" w:themeColor="text1"/>
          <w:sz w:val="24"/>
          <w:szCs w:val="24"/>
        </w:rPr>
        <w:t xml:space="preserve"> 2</w:t>
      </w:r>
      <w:r w:rsidR="00DB6244" w:rsidRPr="00294235">
        <w:rPr>
          <w:rFonts w:ascii="Times New Roman" w:eastAsia="Calibri" w:hAnsi="Times New Roman" w:cs="Times New Roman"/>
          <w:color w:val="000000" w:themeColor="text1"/>
          <w:sz w:val="24"/>
          <w:szCs w:val="24"/>
        </w:rPr>
        <w:t>.</w:t>
      </w:r>
    </w:p>
    <w:p w:rsidR="00085F6C" w:rsidRPr="00294235" w:rsidRDefault="00085F6C" w:rsidP="00865788">
      <w:pPr>
        <w:spacing w:after="0" w:line="240" w:lineRule="auto"/>
        <w:rPr>
          <w:rFonts w:ascii="Times New Roman" w:eastAsia="Calibri" w:hAnsi="Times New Roman" w:cs="Times New Roman"/>
          <w:color w:val="000000" w:themeColor="text1"/>
        </w:rPr>
      </w:pPr>
    </w:p>
    <w:p w:rsidR="00F55EF3" w:rsidRPr="00294235" w:rsidRDefault="00F55EF3" w:rsidP="00865788">
      <w:pPr>
        <w:spacing w:after="0" w:line="240" w:lineRule="auto"/>
        <w:rPr>
          <w:rFonts w:ascii="Times New Roman" w:eastAsia="Calibri" w:hAnsi="Times New Roman" w:cs="Times New Roman"/>
          <w:color w:val="000000" w:themeColor="text1"/>
        </w:rPr>
      </w:pPr>
      <w:bookmarkStart w:id="1" w:name="_GoBack"/>
      <w:bookmarkEnd w:id="1"/>
    </w:p>
    <w:sectPr w:rsidR="00F55EF3" w:rsidRPr="00294235" w:rsidSect="0008412C">
      <w:footerReference w:type="even" r:id="rId37"/>
      <w:footerReference w:type="default" r:id="rId38"/>
      <w:footerReference w:type="first" r:id="rId39"/>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532" w:rsidRDefault="00D17532">
      <w:pPr>
        <w:spacing w:after="0" w:line="240" w:lineRule="auto"/>
      </w:pPr>
      <w:r>
        <w:separator/>
      </w:r>
    </w:p>
  </w:endnote>
  <w:endnote w:type="continuationSeparator" w:id="0">
    <w:p w:rsidR="00D17532" w:rsidRDefault="00D1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860734">
          <w:rPr>
            <w:rFonts w:ascii="Times New Roman" w:hAnsi="Times New Roman"/>
            <w:noProof/>
            <w:sz w:val="24"/>
          </w:rPr>
          <w:t>4</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860734">
          <w:rPr>
            <w:rFonts w:ascii="Times New Roman" w:hAnsi="Times New Roman"/>
            <w:noProof/>
            <w:sz w:val="24"/>
          </w:rPr>
          <w:t>5</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532" w:rsidRDefault="00D17532">
      <w:pPr>
        <w:spacing w:after="0" w:line="240" w:lineRule="auto"/>
      </w:pPr>
      <w:r>
        <w:separator/>
      </w:r>
    </w:p>
  </w:footnote>
  <w:footnote w:type="continuationSeparator" w:id="0">
    <w:p w:rsidR="00D17532" w:rsidRDefault="00D17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B13ED"/>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4DF"/>
    <w:rsid w:val="004657FB"/>
    <w:rsid w:val="00473142"/>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00C"/>
    <w:rsid w:val="005603AA"/>
    <w:rsid w:val="00565663"/>
    <w:rsid w:val="00570126"/>
    <w:rsid w:val="005705DA"/>
    <w:rsid w:val="005934B5"/>
    <w:rsid w:val="005A1ADA"/>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D056A"/>
    <w:rsid w:val="006E4A4F"/>
    <w:rsid w:val="006E6DAB"/>
    <w:rsid w:val="006F239E"/>
    <w:rsid w:val="006F24C3"/>
    <w:rsid w:val="006F3C5C"/>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8042CE"/>
    <w:rsid w:val="00804FB6"/>
    <w:rsid w:val="00805C0C"/>
    <w:rsid w:val="00807A0E"/>
    <w:rsid w:val="008125FB"/>
    <w:rsid w:val="00820802"/>
    <w:rsid w:val="00831E62"/>
    <w:rsid w:val="00834096"/>
    <w:rsid w:val="00847621"/>
    <w:rsid w:val="00860734"/>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5C3E"/>
    <w:rsid w:val="00C74151"/>
    <w:rsid w:val="00C74362"/>
    <w:rsid w:val="00C86A04"/>
    <w:rsid w:val="00C92A1C"/>
    <w:rsid w:val="00CA137B"/>
    <w:rsid w:val="00CC4E1B"/>
    <w:rsid w:val="00CD7211"/>
    <w:rsid w:val="00D04F1E"/>
    <w:rsid w:val="00D05820"/>
    <w:rsid w:val="00D07C3D"/>
    <w:rsid w:val="00D11D03"/>
    <w:rsid w:val="00D13D42"/>
    <w:rsid w:val="00D1753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D6DA6"/>
    <w:rsid w:val="00DE0790"/>
    <w:rsid w:val="00DF4C4D"/>
    <w:rsid w:val="00E01C1D"/>
    <w:rsid w:val="00E072B4"/>
    <w:rsid w:val="00E11DAD"/>
    <w:rsid w:val="00E13A03"/>
    <w:rsid w:val="00E152D4"/>
    <w:rsid w:val="00E20C57"/>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3.xml"/><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6.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5.bin"/><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13E7-91E1-42CE-AB2B-CFE59F90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5</Pages>
  <Words>1670</Words>
  <Characters>9521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2026-01-16T15:48:00Z</dcterms:modified>
</cp:coreProperties>
</file>