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04" w:rsidRPr="00DA3E88" w:rsidRDefault="00552A04" w:rsidP="00552A04">
      <w:pPr>
        <w:spacing w:after="0" w:line="240" w:lineRule="auto"/>
        <w:ind w:left="709" w:hanging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b/>
          <w:color w:val="000000" w:themeColor="text1"/>
          <w:sz w:val="24"/>
          <w:szCs w:val="24"/>
        </w:rPr>
        <w:t>УДК 656.11</w:t>
      </w:r>
    </w:p>
    <w:p w:rsidR="00552A04" w:rsidRPr="00DA3E88" w:rsidRDefault="00552A04" w:rsidP="00552A04">
      <w:pPr>
        <w:spacing w:after="0" w:line="240" w:lineRule="auto"/>
        <w:ind w:left="709" w:hanging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52A04" w:rsidRPr="00DA3E88" w:rsidRDefault="00552A04" w:rsidP="00552A0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x-none" w:eastAsia="x-none"/>
        </w:rPr>
      </w:pPr>
      <w:r w:rsidRPr="00DA3E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АЛГОРИТМ ОПРЕДЕЛЕНИЯ ОСНОВНЫХ ПОКАЗАТЕЛЕЙ ЭФФЕКТИВНОСТИ ИНВЕСТИЦИОННОГО ПРОЕКТА </w:t>
      </w:r>
      <w:r w:rsidR="00606124" w:rsidRPr="00DA3E88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DA3E88">
        <w:rPr>
          <w:rFonts w:ascii="Times New Roman" w:hAnsi="Times New Roman"/>
          <w:b/>
          <w:color w:val="000000" w:themeColor="text1"/>
          <w:sz w:val="24"/>
          <w:szCs w:val="24"/>
        </w:rPr>
        <w:t>ТРАНСПОРТНОГО СООРУЖЕНИЯ</w:t>
      </w:r>
    </w:p>
    <w:p w:rsidR="00552A04" w:rsidRPr="00DA3E88" w:rsidRDefault="00552A04" w:rsidP="00552A04">
      <w:pPr>
        <w:spacing w:after="0" w:line="240" w:lineRule="auto"/>
        <w:ind w:left="709" w:hanging="709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x-none" w:eastAsia="ru-RU"/>
        </w:rPr>
      </w:pPr>
    </w:p>
    <w:p w:rsidR="00DE5AB4" w:rsidRPr="00DA3E88" w:rsidRDefault="00140745" w:rsidP="00552A0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А.В. </w:t>
      </w:r>
      <w:r w:rsidR="00552A04" w:rsidRPr="00DA3E88">
        <w:rPr>
          <w:rFonts w:ascii="Times New Roman" w:hAnsi="Times New Roman"/>
          <w:b/>
          <w:color w:val="000000" w:themeColor="text1"/>
          <w:sz w:val="24"/>
          <w:szCs w:val="24"/>
        </w:rPr>
        <w:t>Панкратова</w:t>
      </w:r>
      <w:r w:rsidRPr="00DA3E88">
        <w:rPr>
          <w:rFonts w:ascii="Times New Roman" w:hAnsi="Times New Roman"/>
          <w:b/>
          <w:color w:val="000000" w:themeColor="text1"/>
          <w:sz w:val="24"/>
          <w:szCs w:val="24"/>
        </w:rPr>
        <w:t>, В.А. Арпишкин</w:t>
      </w:r>
      <w:r w:rsidR="00552A04" w:rsidRPr="00DA3E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DA3E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К.С. </w:t>
      </w:r>
      <w:r w:rsidR="00552A04" w:rsidRPr="00DA3E88">
        <w:rPr>
          <w:rFonts w:ascii="Times New Roman" w:hAnsi="Times New Roman"/>
          <w:b/>
          <w:color w:val="000000" w:themeColor="text1"/>
          <w:sz w:val="24"/>
          <w:szCs w:val="24"/>
        </w:rPr>
        <w:t>Корякин</w:t>
      </w:r>
      <w:r w:rsidRPr="00DA3E88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</w:p>
    <w:p w:rsidR="00552A04" w:rsidRPr="00DA3E88" w:rsidRDefault="00140745" w:rsidP="00552A0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</w:pPr>
      <w:r w:rsidRPr="00DA3E88">
        <w:rPr>
          <w:rFonts w:ascii="Times New Roman" w:hAnsi="Times New Roman"/>
          <w:b/>
          <w:color w:val="000000" w:themeColor="text1"/>
          <w:sz w:val="24"/>
          <w:szCs w:val="24"/>
        </w:rPr>
        <w:t>Н.И. Мельников</w:t>
      </w:r>
      <w:r w:rsidR="00552A04" w:rsidRPr="00DA3E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DA3E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К.Г. </w:t>
      </w:r>
      <w:r w:rsidR="00552A04" w:rsidRPr="00DA3E88">
        <w:rPr>
          <w:rFonts w:ascii="Times New Roman" w:hAnsi="Times New Roman"/>
          <w:b/>
          <w:color w:val="000000" w:themeColor="text1"/>
          <w:sz w:val="24"/>
          <w:szCs w:val="24"/>
        </w:rPr>
        <w:t>Шеллунц</w:t>
      </w:r>
    </w:p>
    <w:p w:rsidR="00552A04" w:rsidRPr="00DA3E88" w:rsidRDefault="00DE5AB4" w:rsidP="00DE5AB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Саратовский государственный технический 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  <w:t>университет имени Гагарина Ю.А.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</w:pPr>
      <w:r w:rsidRPr="00DA3E88">
        <w:rPr>
          <w:rFonts w:ascii="Times New Roman" w:eastAsia="Times New Roman" w:hAnsi="Times New Roman"/>
          <w:b/>
          <w:i/>
          <w:color w:val="000000" w:themeColor="text1"/>
          <w:szCs w:val="24"/>
          <w:lang w:eastAsia="ru-RU"/>
        </w:rPr>
        <w:t xml:space="preserve">Аннотация. </w:t>
      </w:r>
      <w:r w:rsidRPr="00DA3E88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 xml:space="preserve">В работе представлен алгоритм определения основных показателей эффективности инвестиционного проекта: </w:t>
      </w:r>
      <w:r w:rsidRPr="00DA3E88">
        <w:rPr>
          <w:rFonts w:ascii="Times New Roman" w:hAnsi="Times New Roman"/>
          <w:i/>
          <w:color w:val="000000" w:themeColor="text1"/>
          <w:szCs w:val="24"/>
        </w:rPr>
        <w:t xml:space="preserve">чистая приведенная ценность проекта и внутренняя норма рентабельности. Применив к данным показателям вероятностную модель, основанную на теории риска, можно установить </w:t>
      </w:r>
      <w:r w:rsidRPr="00DA3E88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>риск и надежность данного проекта.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DA3E88">
        <w:rPr>
          <w:rFonts w:ascii="Times New Roman" w:eastAsia="Times New Roman" w:hAnsi="Times New Roman"/>
          <w:b/>
          <w:i/>
          <w:color w:val="000000" w:themeColor="text1"/>
          <w:szCs w:val="24"/>
          <w:lang w:eastAsia="ru-RU"/>
        </w:rPr>
        <w:t>Ключевые слова:</w:t>
      </w:r>
      <w:r w:rsidRPr="00DA3E88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 xml:space="preserve"> </w:t>
      </w:r>
      <w:r w:rsidRPr="00DA3E88">
        <w:rPr>
          <w:rFonts w:ascii="Times New Roman" w:hAnsi="Times New Roman"/>
          <w:i/>
          <w:color w:val="000000" w:themeColor="text1"/>
          <w:szCs w:val="24"/>
        </w:rPr>
        <w:t>инвестиционный проект, чистая приведенная ценность проекта, внутренняя норма рентабельности, риск, надежность</w:t>
      </w:r>
    </w:p>
    <w:p w:rsidR="00140745" w:rsidRPr="00DA3E88" w:rsidRDefault="00552A04" w:rsidP="001407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DA3E8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AN ALGORITHM FOR DETERMINING </w:t>
      </w:r>
      <w:r w:rsidR="00140745" w:rsidRPr="00DA3E8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br/>
      </w:r>
      <w:r w:rsidRPr="00DA3E8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THE MAIN PERFORMANCE INDICATORS</w:t>
      </w:r>
    </w:p>
    <w:p w:rsidR="00552A04" w:rsidRPr="00DA3E88" w:rsidRDefault="00552A04" w:rsidP="001407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DA3E8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OF A TRANSPORT FACILITY INVESTMENT PROJECT</w:t>
      </w:r>
    </w:p>
    <w:p w:rsidR="00552A04" w:rsidRPr="00DA3E88" w:rsidRDefault="00552A04" w:rsidP="001407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val="en-US" w:eastAsia="ru-RU"/>
        </w:rPr>
      </w:pPr>
    </w:p>
    <w:p w:rsidR="00552A04" w:rsidRPr="00DA3E88" w:rsidRDefault="00140745" w:rsidP="00140745">
      <w:pPr>
        <w:pStyle w:val="a3"/>
        <w:ind w:firstLine="0"/>
        <w:jc w:val="center"/>
        <w:rPr>
          <w:b/>
          <w:color w:val="000000" w:themeColor="text1"/>
          <w:sz w:val="24"/>
          <w:lang w:val="en-US"/>
        </w:rPr>
      </w:pPr>
      <w:r w:rsidRPr="00DA3E88">
        <w:rPr>
          <w:b/>
          <w:color w:val="000000" w:themeColor="text1"/>
          <w:sz w:val="24"/>
          <w:lang w:val="en-US"/>
        </w:rPr>
        <w:t>A.V. Pankratova, V.A. Arpishkin</w:t>
      </w:r>
      <w:r w:rsidR="00552A04" w:rsidRPr="00DA3E88">
        <w:rPr>
          <w:b/>
          <w:color w:val="000000" w:themeColor="text1"/>
          <w:sz w:val="24"/>
          <w:lang w:val="en-US"/>
        </w:rPr>
        <w:t xml:space="preserve">, </w:t>
      </w:r>
      <w:r w:rsidRPr="00DA3E88">
        <w:rPr>
          <w:b/>
          <w:color w:val="000000" w:themeColor="text1"/>
          <w:sz w:val="24"/>
          <w:lang w:val="en-US"/>
        </w:rPr>
        <w:t xml:space="preserve">K.S. </w:t>
      </w:r>
      <w:r w:rsidR="00552A04" w:rsidRPr="00DA3E88">
        <w:rPr>
          <w:b/>
          <w:color w:val="000000" w:themeColor="text1"/>
          <w:sz w:val="24"/>
          <w:lang w:val="en-US"/>
        </w:rPr>
        <w:t>К</w:t>
      </w:r>
      <w:r w:rsidRPr="00DA3E88">
        <w:rPr>
          <w:b/>
          <w:color w:val="000000" w:themeColor="text1"/>
          <w:sz w:val="24"/>
          <w:lang w:val="en-US"/>
        </w:rPr>
        <w:t>aryakin, N.I. Melnikov, К.G. Shellunts</w:t>
      </w:r>
    </w:p>
    <w:p w:rsidR="00140745" w:rsidRPr="00DA3E88" w:rsidRDefault="002271F1" w:rsidP="001407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en-US"/>
        </w:rPr>
      </w:pP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Yuri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Gagarin State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Technical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University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</w:t>
      </w:r>
    </w:p>
    <w:p w:rsidR="00552A04" w:rsidRPr="00DA3E88" w:rsidRDefault="00552A04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Cs w:val="24"/>
          <w:lang w:val="en-US"/>
        </w:rPr>
      </w:pPr>
      <w:r w:rsidRPr="00DA3E88">
        <w:rPr>
          <w:rFonts w:ascii="Times New Roman" w:hAnsi="Times New Roman"/>
          <w:b/>
          <w:i/>
          <w:color w:val="000000" w:themeColor="text1"/>
          <w:szCs w:val="24"/>
          <w:lang w:val="en-US"/>
        </w:rPr>
        <w:t>A</w:t>
      </w:r>
      <w:r w:rsidR="00140745" w:rsidRPr="00DA3E88">
        <w:rPr>
          <w:rFonts w:ascii="Times New Roman" w:hAnsi="Times New Roman"/>
          <w:b/>
          <w:i/>
          <w:color w:val="000000" w:themeColor="text1"/>
          <w:szCs w:val="24"/>
          <w:lang w:val="en-US"/>
        </w:rPr>
        <w:t>bstract</w:t>
      </w:r>
      <w:r w:rsidRPr="00DA3E88">
        <w:rPr>
          <w:rFonts w:ascii="Times New Roman" w:hAnsi="Times New Roman"/>
          <w:b/>
          <w:i/>
          <w:color w:val="000000" w:themeColor="text1"/>
          <w:szCs w:val="24"/>
          <w:lang w:val="en-US"/>
        </w:rPr>
        <w:t>.</w:t>
      </w:r>
      <w:r w:rsidRPr="00DA3E88">
        <w:rPr>
          <w:b/>
          <w:i/>
          <w:color w:val="000000" w:themeColor="text1"/>
          <w:szCs w:val="24"/>
          <w:lang w:val="en-US"/>
        </w:rPr>
        <w:t xml:space="preserve"> </w:t>
      </w:r>
      <w:r w:rsidRPr="00DA3E88">
        <w:rPr>
          <w:rFonts w:ascii="Times New Roman" w:hAnsi="Times New Roman"/>
          <w:i/>
          <w:color w:val="000000" w:themeColor="text1"/>
          <w:szCs w:val="24"/>
          <w:lang w:val="en-US"/>
        </w:rPr>
        <w:t>The paper presents an algorithm for determining the main performance indicators of an investment project: the net present value of the project and the internal rate of return. By applying a probabilistic model based on risk theory to these indicators, it is possible to establish the risk and reliability of this project.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Cs w:val="24"/>
          <w:lang w:val="en-US" w:eastAsia="ru-RU"/>
        </w:rPr>
      </w:pPr>
      <w:r w:rsidRPr="00DA3E88">
        <w:rPr>
          <w:rFonts w:ascii="Times New Roman" w:hAnsi="Times New Roman"/>
          <w:b/>
          <w:i/>
          <w:color w:val="000000" w:themeColor="text1"/>
          <w:szCs w:val="24"/>
          <w:shd w:val="clear" w:color="auto" w:fill="FDFDFD"/>
          <w:lang w:val="en-US"/>
        </w:rPr>
        <w:t>Keywords:</w:t>
      </w:r>
      <w:r w:rsidRPr="00DA3E88">
        <w:rPr>
          <w:rFonts w:ascii="Times New Roman" w:hAnsi="Times New Roman"/>
          <w:i/>
          <w:color w:val="000000" w:themeColor="text1"/>
          <w:szCs w:val="24"/>
          <w:shd w:val="clear" w:color="auto" w:fill="FDFDFD"/>
          <w:lang w:val="en-US"/>
        </w:rPr>
        <w:t xml:space="preserve"> investment project, the net present value of project, internal rate of return, risk, re</w:t>
      </w:r>
      <w:r w:rsidR="00140745" w:rsidRPr="00DA3E88">
        <w:rPr>
          <w:rFonts w:ascii="Times New Roman" w:hAnsi="Times New Roman"/>
          <w:i/>
          <w:color w:val="000000" w:themeColor="text1"/>
          <w:szCs w:val="24"/>
          <w:shd w:val="clear" w:color="auto" w:fill="FDFDFD"/>
          <w:lang w:val="en-US"/>
        </w:rPr>
        <w:t>liability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4"/>
          <w:lang w:val="en-US" w:eastAsia="ru-RU"/>
        </w:rPr>
      </w:pPr>
    </w:p>
    <w:p w:rsidR="00552A04" w:rsidRPr="00DA3E88" w:rsidRDefault="00552A04" w:rsidP="00552A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Анализ инвестиционных проектов, как показывает мировая практика,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включает в себя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подходы Всемирною Банка, методику ЮНИДО. Методы оценки эффективности проекта подразделяются на две группы, основанные на дисконтированных и учетных финансовых ресурсов. Выбор метода определяется сроками осуществления проекта, размером инвестиций, наличием альтернативных проектов и другими факторами. Наиболее часто для оценки эффективности проектов применяют методы, основанные на дисконтированных ресурсах, поскольку они значительно более точны, так как учитывают различные виды инфляции, изменения процентной ставки, нормы доходности и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т.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д. К этим показателям относят метод индекса рентабельности, метод чистой текущей стоимости (приведенной ценности), метод внутренней нормы доходности (рентабельности) и метод текущей окупаемости.</w:t>
      </w:r>
    </w:p>
    <w:p w:rsidR="00552A04" w:rsidRPr="00DA3E88" w:rsidRDefault="00552A04" w:rsidP="00140745">
      <w:pPr>
        <w:pStyle w:val="22"/>
        <w:ind w:left="0" w:firstLine="709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>Для российских условий имеются Методические рекомендации по оценке эффективности инвестиционных проектов [3], которые исправили и дополнили Методические рекомендации по оценке инвестиционных проектов и их отбору для финансирования [3]. Данные рекомендации конкретизированы (применены) в дорожном хозяйстве в качестве отраслевого дорожного методического документа – Руководств</w:t>
      </w:r>
      <w:r w:rsidR="004D64EF" w:rsidRPr="00DA3E88">
        <w:rPr>
          <w:color w:val="000000" w:themeColor="text1"/>
          <w:sz w:val="24"/>
          <w:szCs w:val="24"/>
        </w:rPr>
        <w:t>а</w:t>
      </w:r>
      <w:r w:rsidRPr="00DA3E88">
        <w:rPr>
          <w:color w:val="000000" w:themeColor="text1"/>
          <w:sz w:val="24"/>
          <w:szCs w:val="24"/>
        </w:rPr>
        <w:t xml:space="preserve"> по оценке экономической эффективности [1]</w:t>
      </w:r>
      <w:r w:rsidR="00140745" w:rsidRPr="00DA3E88">
        <w:rPr>
          <w:color w:val="000000" w:themeColor="text1"/>
          <w:sz w:val="24"/>
          <w:szCs w:val="24"/>
        </w:rPr>
        <w:t>.</w:t>
      </w:r>
    </w:p>
    <w:p w:rsidR="00552A04" w:rsidRPr="00DA3E88" w:rsidRDefault="00552A04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Как было показано в первой главе, в качестве основных показателей эффективности инвестиционного проекта устанавливают: </w:t>
      </w:r>
    </w:p>
    <w:p w:rsidR="00552A04" w:rsidRPr="00DA3E88" w:rsidRDefault="00140745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lastRenderedPageBreak/>
        <w:sym w:font="Wingdings" w:char="F09F"/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финансовую (коммерческую) эффективность, учитывающую финансовые последствия для участников проекта; </w:t>
      </w:r>
    </w:p>
    <w:p w:rsidR="00552A04" w:rsidRPr="00DA3E88" w:rsidRDefault="00140745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sym w:font="Wingdings" w:char="F09F"/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бюджетную эффективность, учитывающую финансовые последствия для бюджетов всех уровней; </w:t>
      </w:r>
    </w:p>
    <w:p w:rsidR="00552A04" w:rsidRPr="00DA3E88" w:rsidRDefault="00140745" w:rsidP="0014074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sym w:font="Wingdings" w:char="F09F"/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народнохозяйственную экономическую эффективность, учитывающую затраты и результаты (выгоды), выходящие за пределы прямых финансовых интересов участников проекта и допускающие стоимостное выражение. </w:t>
      </w:r>
    </w:p>
    <w:p w:rsidR="00552A04" w:rsidRPr="00DA3E88" w:rsidRDefault="00552A04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>Чистая приведенная ценность проекта (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  <w:lang w:val="en-US"/>
        </w:rPr>
        <w:t>net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  <w:lang w:val="en-US"/>
        </w:rPr>
        <w:t>present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  <w:lang w:val="en-US"/>
        </w:rPr>
        <w:t>value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– </w:t>
      </w:r>
      <w:r w:rsidRPr="00DA3E88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NPV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>) представляет собой разницу между дисконтированными выгодами и дисконтированными затратами, а внутренняя норма рентабельности (</w:t>
      </w:r>
      <w:r w:rsidRPr="00DA3E88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IIR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>) – подбор такой величины ставки дисконтирования, при которой чистая приведенная ценность инвестиционного проекта обращается в ноль.</w:t>
      </w:r>
    </w:p>
    <w:p w:rsidR="00552A04" w:rsidRPr="00DA3E88" w:rsidRDefault="00552A04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Поскольку к этим показателям в методических указаниях [1] относятся как к детерминированным (однозначно определенным) и не учитывают, что они могут оказаться невыполнимы из-за ряда причин, таких как изменение затрат на строительство (под воздействием погодных условий, роста стоимости дорожно-строительных материалов, строительной техники и т.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д.), а выгоды в процессе эксплуатации могут сократиться (с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уменьшением спроса на транспортные услуги), предлагаем применять к показателям </w:t>
      </w:r>
      <w:r w:rsidRPr="00DA3E88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NPV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DA3E88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IRR</w:t>
      </w:r>
      <w:r w:rsidRPr="00DA3E8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вероятностную модель, основанную на теории риска. В этой модели учитывается также, что стоимость строительства зависит от ошибок в определении перспективной интенсивности движения. Это даст дополнительную информацию инвестору о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рисках, которым подвержен его капитал в процессе реализации проекта [3].</w:t>
      </w:r>
    </w:p>
    <w:p w:rsidR="00552A04" w:rsidRPr="00DA3E88" w:rsidRDefault="00552A04" w:rsidP="00552A04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Если распределения вероятностей, показанные на рисунке а, соответствуют нормальному закону, то интегральное распределение (см. рисунок б) надежности вложения капитала можно установить по формуле:</w:t>
      </w:r>
    </w:p>
    <w:p w:rsidR="00552A04" w:rsidRPr="00DA3E88" w:rsidRDefault="00606124" w:rsidP="009853E3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7773C6" w:rsidRPr="00DA3E88">
        <w:rPr>
          <w:color w:val="000000" w:themeColor="text1"/>
          <w:position w:val="-42"/>
        </w:rPr>
        <w:object w:dxaOrig="30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50.25pt" o:ole="">
            <v:imagedata r:id="rId8" o:title=""/>
          </v:shape>
          <o:OLEObject Type="Embed" ProgID="Equation.3" ShapeID="_x0000_i1025" DrawAspect="Content" ObjectID="_1830241111" r:id="rId9"/>
        </w:object>
      </w:r>
      <w:r w:rsidR="00552A04" w:rsidRPr="00DA3E88">
        <w:rPr>
          <w:color w:val="000000" w:themeColor="text1"/>
        </w:rPr>
        <w:t>,</w:t>
      </w:r>
      <w:r w:rsidRPr="00DA3E88">
        <w:rPr>
          <w:color w:val="000000" w:themeColor="text1"/>
        </w:rPr>
        <w:tab/>
      </w:r>
      <w:r w:rsidR="00552A04" w:rsidRPr="00DA3E88">
        <w:rPr>
          <w:color w:val="000000" w:themeColor="text1"/>
        </w:rPr>
        <w:t>(1)</w:t>
      </w:r>
    </w:p>
    <w:p w:rsidR="00552A04" w:rsidRPr="00DA3E88" w:rsidRDefault="00606124" w:rsidP="006061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где </w:t>
      </w:r>
      <w:r w:rsidR="00140745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26" type="#_x0000_t75" style="width:14.25pt;height:14.25pt" o:ole="">
            <v:imagedata r:id="rId10" o:title=""/>
          </v:shape>
          <o:OLEObject Type="Embed" ProgID="Equation.3" ShapeID="_x0000_i1026" DrawAspect="Content" ObjectID="_1830241112" r:id="rId11"/>
        </w:objec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интегральное распределение надежности результатов проекта (вероятность того, что инвестиции, вложенные в проект, окупятся);</w:t>
      </w:r>
    </w:p>
    <w:p w:rsidR="00552A04" w:rsidRPr="00DA3E88" w:rsidRDefault="00140745" w:rsidP="0060612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520" w:dyaOrig="340">
          <v:shape id="_x0000_i1027" type="#_x0000_t75" style="width:28.5pt;height:21.75pt" o:ole="">
            <v:imagedata r:id="rId12" o:title=""/>
          </v:shape>
          <o:OLEObject Type="Embed" ProgID="Equation.3" ShapeID="_x0000_i1027" DrawAspect="Content" ObjectID="_1830241113" r:id="rId13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интеграл вероятности (функция Лапласа), определяемый по приложению 1 в работе [2] в зависимости от величины подынтегральной функции </w:t>
      </w:r>
      <w:r w:rsidR="00552A04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20" w:dyaOrig="240">
          <v:shape id="_x0000_i1028" type="#_x0000_t75" style="width:14.25pt;height:14.25pt" o:ole="">
            <v:imagedata r:id="rId14" o:title=""/>
          </v:shape>
          <o:OLEObject Type="Embed" ProgID="Equation.3" ShapeID="_x0000_i1028" DrawAspect="Content" ObjectID="_1830241114" r:id="rId15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2A04" w:rsidRPr="00DA3E88" w:rsidRDefault="00140745" w:rsidP="0060612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580" w:dyaOrig="360">
          <v:shape id="_x0000_i1029" type="#_x0000_t75" style="width:28.5pt;height:21.75pt" o:ole="">
            <v:imagedata r:id="rId16" o:title=""/>
          </v:shape>
          <o:OLEObject Type="Embed" ProgID="Equation.3" ShapeID="_x0000_i1029" DrawAspect="Content" ObjectID="_1830241115" r:id="rId17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текущее значение чистой приведенной ценности, которая определяется при конкретных значениях исходных данных;</w:t>
      </w:r>
    </w:p>
    <w:p w:rsidR="00552A04" w:rsidRPr="00DA3E88" w:rsidRDefault="00140745" w:rsidP="0060612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00" w:dyaOrig="360">
          <v:shape id="_x0000_i1030" type="#_x0000_t75" style="width:28.5pt;height:21.75pt" o:ole="">
            <v:imagedata r:id="rId18" o:title=""/>
          </v:shape>
          <o:OLEObject Type="Embed" ProgID="Equation.3" ShapeID="_x0000_i1030" DrawAspect="Content" ObjectID="_1830241116" r:id="rId19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среднее квадратическое отклонение параметра </w:t>
      </w: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580" w:dyaOrig="360">
          <v:shape id="_x0000_i1031" type="#_x0000_t75" style="width:28.5pt;height:21.75pt" o:ole="">
            <v:imagedata r:id="rId20" o:title=""/>
          </v:shape>
          <o:OLEObject Type="Embed" ProgID="Equation.3" ShapeID="_x0000_i1031" DrawAspect="Content" ObjectID="_1830241117" r:id="rId21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2A04" w:rsidRPr="00DA3E88" w:rsidRDefault="00140745" w:rsidP="0060612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60" w:dyaOrig="360">
          <v:shape id="_x0000_i1032" type="#_x0000_t75" style="width:36pt;height:21.75pt" o:ole="">
            <v:imagedata r:id="rId22" o:title=""/>
          </v:shape>
          <o:OLEObject Type="Embed" ProgID="Equation.3" ShapeID="_x0000_i1032" DrawAspect="Content" ObjectID="_1830241118" r:id="rId23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среднее квадратическое отклонение параметра </w:t>
      </w: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20" w:dyaOrig="360">
          <v:shape id="_x0000_i1033" type="#_x0000_t75" style="width:28.5pt;height:21.75pt" o:ole="">
            <v:imagedata r:id="rId24" o:title=""/>
          </v:shape>
          <o:OLEObject Type="Embed" ProgID="Equation.3" ShapeID="_x0000_i1033" DrawAspect="Content" ObjectID="_1830241119" r:id="rId25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(когда </w:t>
      </w:r>
      <w:r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859" w:dyaOrig="260">
          <v:shape id="_x0000_i1034" type="#_x0000_t75" style="width:43.5pt;height:14.25pt" o:ole="">
            <v:imagedata r:id="rId26" o:title=""/>
          </v:shape>
          <o:OLEObject Type="Embed" ProgID="Equation.3" ShapeID="_x0000_i1034" DrawAspect="Content" ObjectID="_1830241120" r:id="rId27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552A04" w:rsidRPr="00DA3E88" w:rsidRDefault="00140745" w:rsidP="0060612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4"/>
          <w:sz w:val="24"/>
          <w:szCs w:val="24"/>
          <w:lang w:val="en-US"/>
        </w:rPr>
        <w:object w:dxaOrig="2340" w:dyaOrig="480">
          <v:shape id="_x0000_i1035" type="#_x0000_t75" style="width:115.5pt;height:21.75pt" o:ole="">
            <v:imagedata r:id="rId28" o:title=""/>
          </v:shape>
          <o:OLEObject Type="Embed" ProgID="Equation.3" ShapeID="_x0000_i1035" DrawAspect="Content" ObjectID="_1830241121" r:id="rId29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суммарное среднее квадратическое отклонение чистой приведенной ценности проекта, учитывающее изменение внутренней нормы рентабельности за период эксплуатации проекта.</w:t>
      </w:r>
    </w:p>
    <w:p w:rsidR="007773C6" w:rsidRPr="00DA3E88" w:rsidRDefault="007773C6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773C6" w:rsidRPr="00DA3E88" w:rsidRDefault="00140745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A3E88">
        <w:rPr>
          <w:rFonts w:ascii="Times New Roman" w:hAnsi="Times New Roman"/>
          <w:noProof/>
          <w:color w:val="000000" w:themeColor="text1"/>
          <w:szCs w:val="24"/>
          <w:lang w:eastAsia="ru-RU"/>
        </w:rPr>
        <w:lastRenderedPageBreak/>
        <w:drawing>
          <wp:inline distT="0" distB="0" distL="0" distR="0" wp14:anchorId="650E92E4" wp14:editId="7B26224C">
            <wp:extent cx="4613148" cy="4320540"/>
            <wp:effectExtent l="0" t="0" r="0" b="3810"/>
            <wp:docPr id="1793298246" name="Рисунок 1793298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_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148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3C6" w:rsidRPr="00DA3E88" w:rsidRDefault="007773C6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  <w:lang w:val="en-US"/>
        </w:rPr>
      </w:pPr>
    </w:p>
    <w:p w:rsidR="007773C6" w:rsidRPr="00DA3E88" w:rsidRDefault="007773C6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A3E88">
        <w:rPr>
          <w:rFonts w:ascii="Times New Roman" w:hAnsi="Times New Roman"/>
          <w:color w:val="000000" w:themeColor="text1"/>
          <w:szCs w:val="24"/>
        </w:rPr>
        <w:t>Дифференциальное (</w:t>
      </w:r>
      <w:r w:rsidRPr="00DA3E88">
        <w:rPr>
          <w:rFonts w:ascii="Times New Roman" w:hAnsi="Times New Roman"/>
          <w:color w:val="000000" w:themeColor="text1"/>
          <w:szCs w:val="24"/>
          <w:lang w:val="en-US"/>
        </w:rPr>
        <w:t>a</w:t>
      </w:r>
      <w:r w:rsidRPr="00DA3E88">
        <w:rPr>
          <w:rFonts w:ascii="Times New Roman" w:hAnsi="Times New Roman"/>
          <w:color w:val="000000" w:themeColor="text1"/>
          <w:szCs w:val="24"/>
        </w:rPr>
        <w:t>) и интегральное (б) распределение вероятностей</w:t>
      </w:r>
    </w:p>
    <w:p w:rsidR="007773C6" w:rsidRPr="00DA3E88" w:rsidRDefault="007773C6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A3E88">
        <w:rPr>
          <w:rFonts w:ascii="Times New Roman" w:hAnsi="Times New Roman"/>
          <w:color w:val="000000" w:themeColor="text1"/>
          <w:szCs w:val="24"/>
        </w:rPr>
        <w:t>чистой приведенной ценности проекта</w:t>
      </w:r>
    </w:p>
    <w:p w:rsidR="007773C6" w:rsidRPr="00DA3E88" w:rsidRDefault="007773C6" w:rsidP="007773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В формуле (1) </w:t>
      </w: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00" w:dyaOrig="360">
          <v:shape id="_x0000_i1036" type="#_x0000_t75" style="width:28.5pt;height:14.25pt" o:ole="">
            <v:imagedata r:id="rId31" o:title=""/>
          </v:shape>
          <o:OLEObject Type="Embed" ProgID="Equation.3" ShapeID="_x0000_i1036" DrawAspect="Content" ObjectID="_1830241122" r:id="rId32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140745" w:rsidRPr="00DA3E88">
        <w:rPr>
          <w:rFonts w:ascii="Times New Roman" w:hAnsi="Times New Roman"/>
          <w:color w:val="000000" w:themeColor="text1"/>
          <w:position w:val="-14"/>
          <w:sz w:val="24"/>
          <w:szCs w:val="24"/>
          <w:lang w:val="en-US"/>
        </w:rPr>
        <w:object w:dxaOrig="2360" w:dyaOrig="480">
          <v:shape id="_x0000_i1037" type="#_x0000_t75" style="width:108pt;height:21.75pt" o:ole="">
            <v:imagedata r:id="rId33" o:title=""/>
          </v:shape>
          <o:OLEObject Type="Embed" ProgID="Equation.3" ShapeID="_x0000_i1037" DrawAspect="Content" ObjectID="_1830241123" r:id="rId34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устанавливаются методом Монте-Карло [1], который позволит без предварительного вычисления параметров </w:t>
      </w:r>
      <w:r w:rsidR="00140745"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20" w:dyaOrig="360">
          <v:shape id="_x0000_i1038" type="#_x0000_t75" style="width:28.5pt;height:14.25pt" o:ole="">
            <v:imagedata r:id="rId35" o:title=""/>
          </v:shape>
          <o:OLEObject Type="Embed" ProgID="Equation.3" ShapeID="_x0000_i1038" DrawAspect="Content" ObjectID="_1830241124" r:id="rId36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40745"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80" w:dyaOrig="360">
          <v:shape id="_x0000_i1039" type="#_x0000_t75" style="width:28.5pt;height:14.25pt" o:ole="">
            <v:imagedata r:id="rId37" o:title=""/>
          </v:shape>
          <o:OLEObject Type="Embed" ProgID="Equation.3" ShapeID="_x0000_i1039" DrawAspect="Content" ObjectID="_1830241125" r:id="rId38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получить значение </w:t>
      </w:r>
      <w:r w:rsidR="00140745" w:rsidRPr="00DA3E88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499" w:dyaOrig="380">
          <v:shape id="_x0000_i1040" type="#_x0000_t75" style="width:21.75pt;height:21.75pt" o:ole="">
            <v:imagedata r:id="rId39" o:title=""/>
          </v:shape>
          <o:OLEObject Type="Embed" ProgID="Equation.3" ShapeID="_x0000_i1040" DrawAspect="Content" ObjectID="_1830241126" r:id="rId40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 уменьшит число итераций вдвое (на 600-800 циклов).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На рисунке а, б </w:t>
      </w:r>
      <w:r w:rsidR="00140745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580" w:dyaOrig="340">
          <v:shape id="_x0000_i1041" type="#_x0000_t75" style="width:28.5pt;height:14.25pt" o:ole="">
            <v:imagedata r:id="rId41" o:title=""/>
          </v:shape>
          <o:OLEObject Type="Embed" ProgID="Equation.3" ShapeID="_x0000_i1041" DrawAspect="Content" ObjectID="_1830241127" r:id="rId42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является средним значением текущей чистой приведенной ценности проекта.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Зная, что риск потери инвестиций связан с уровнем надежности вложения капитала зависимостью </w:t>
      </w:r>
      <w:r w:rsidR="00140745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1020" w:dyaOrig="279">
          <v:shape id="_x0000_i1042" type="#_x0000_t75" style="width:50.25pt;height:14.25pt" o:ole="">
            <v:imagedata r:id="rId43" o:title=""/>
          </v:shape>
          <o:OLEObject Type="Embed" ProgID="Equation.3" ShapeID="_x0000_i1042" DrawAspect="Content" ObjectID="_1830241128" r:id="rId44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, получаем:</w:t>
      </w:r>
    </w:p>
    <w:p w:rsidR="00552A04" w:rsidRPr="00DA3E88" w:rsidRDefault="007773C6" w:rsidP="009853E3">
      <w:pPr>
        <w:pStyle w:val="19"/>
        <w:rPr>
          <w:color w:val="000000" w:themeColor="text1"/>
        </w:rPr>
      </w:pPr>
      <w:r w:rsidRPr="00DA3E88">
        <w:rPr>
          <w:rStyle w:val="1a"/>
          <w:color w:val="000000" w:themeColor="text1"/>
        </w:rPr>
        <w:tab/>
      </w:r>
      <w:r w:rsidR="00140745" w:rsidRPr="00DA3E88">
        <w:rPr>
          <w:rStyle w:val="1a"/>
          <w:color w:val="000000" w:themeColor="text1"/>
        </w:rPr>
        <w:object w:dxaOrig="2940" w:dyaOrig="960">
          <v:shape id="_x0000_i1043" type="#_x0000_t75" style="width:151.5pt;height:50.25pt" o:ole="">
            <v:imagedata r:id="rId45" o:title=""/>
          </v:shape>
          <o:OLEObject Type="Embed" ProgID="Equation.3" ShapeID="_x0000_i1043" DrawAspect="Content" ObjectID="_1830241129" r:id="rId46"/>
        </w:object>
      </w:r>
      <w:r w:rsidR="00552A04" w:rsidRPr="00DA3E88">
        <w:rPr>
          <w:rStyle w:val="1a"/>
          <w:color w:val="000000" w:themeColor="text1"/>
        </w:rPr>
        <w:t>,</w:t>
      </w:r>
      <w:r w:rsidRPr="00DA3E88">
        <w:rPr>
          <w:color w:val="000000" w:themeColor="text1"/>
        </w:rPr>
        <w:tab/>
      </w:r>
      <w:r w:rsidR="00552A04" w:rsidRPr="00DA3E88">
        <w:rPr>
          <w:color w:val="000000" w:themeColor="text1"/>
        </w:rPr>
        <w:t>(2)</w:t>
      </w:r>
    </w:p>
    <w:p w:rsidR="00552A04" w:rsidRPr="00DA3E88" w:rsidRDefault="00552A04" w:rsidP="007773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где </w:t>
      </w:r>
      <w:r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44" type="#_x0000_t75" style="width:7.5pt;height:14.25pt" o:ole="">
            <v:imagedata r:id="rId47" o:title=""/>
          </v:shape>
          <o:OLEObject Type="Embed" ProgID="Equation.3" ShapeID="_x0000_i1044" DrawAspect="Content" ObjectID="_1830241130" r:id="rId48"/>
        </w:object>
      </w:r>
      <w:r w:rsidR="00FD4643" w:rsidRPr="00DA3E8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риск результатов проекта (вероятность потери капитала);</w:t>
      </w:r>
    </w:p>
    <w:p w:rsidR="00552A04" w:rsidRPr="00DA3E88" w:rsidRDefault="007773C6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00" w:dyaOrig="360">
          <v:shape id="_x0000_i1045" type="#_x0000_t75" style="width:28.5pt;height:21.75pt" o:ole="">
            <v:imagedata r:id="rId49" o:title=""/>
          </v:shape>
          <o:OLEObject Type="Embed" ProgID="Equation.3" ShapeID="_x0000_i1045" DrawAspect="Content" ObjectID="_1830241131" r:id="rId50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00" w:dyaOrig="360">
          <v:shape id="_x0000_i1046" type="#_x0000_t75" style="width:28.5pt;height:21.75pt" o:ole="">
            <v:imagedata r:id="rId51" o:title=""/>
          </v:shape>
          <o:OLEObject Type="Embed" ProgID="Equation.3" ShapeID="_x0000_i1046" DrawAspect="Content" ObjectID="_1830241132" r:id="rId52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80" w:dyaOrig="360">
          <v:shape id="_x0000_i1047" type="#_x0000_t75" style="width:36pt;height:21.75pt" o:ole="">
            <v:imagedata r:id="rId53" o:title=""/>
          </v:shape>
          <o:OLEObject Type="Embed" ProgID="Equation.3" ShapeID="_x0000_i1047" DrawAspect="Content" ObjectID="_1830241133" r:id="rId54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то же, что и в формуле (1).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Анализ формул (1) и (2) показал, что если: </w:t>
      </w:r>
    </w:p>
    <w:p w:rsidR="00552A04" w:rsidRPr="00DA3E88" w:rsidRDefault="007773C6" w:rsidP="00552A0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48" type="#_x0000_t75" style="width:28.5pt;height:21.75pt" o:ole="">
            <v:imagedata r:id="rId55" o:title=""/>
          </v:shape>
          <o:OLEObject Type="Embed" ProgID="Equation.3" ShapeID="_x0000_i1048" DrawAspect="Content" ObjectID="_1830241134" r:id="rId56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&lt;</w:t>
      </w:r>
      <w:r w:rsidR="00140745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49" type="#_x0000_t75" style="width:7.5pt;height:14.25pt" o:ole="">
            <v:imagedata r:id="rId57" o:title=""/>
          </v:shape>
          <o:OLEObject Type="Embed" ProgID="Equation.3" ShapeID="_x0000_i1049" DrawAspect="Content" ObjectID="_1830241135" r:id="rId58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, то</w:t>
      </w:r>
      <w:r w:rsidR="00140745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50" type="#_x0000_t75" style="width:14.25pt;height:14.25pt" o:ole="">
            <v:imagedata r:id="rId59" o:title=""/>
          </v:shape>
          <o:OLEObject Type="Embed" ProgID="Equation.3" ShapeID="_x0000_i1050" DrawAspect="Content" ObjectID="_1830241136" r:id="rId60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140745"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80" w:dyaOrig="320">
          <v:shape id="_x0000_i1051" type="#_x0000_t75" style="width:36pt;height:14.25pt" o:ole="">
            <v:imagedata r:id="rId61" o:title=""/>
          </v:shape>
          <o:OLEObject Type="Embed" ProgID="Equation.3" ShapeID="_x0000_i1051" DrawAspect="Content" ObjectID="_1830241137" r:id="rId62"/>
        </w:object>
      </w:r>
      <w:r w:rsidR="00552A04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52" type="#_x0000_t75" style="width:21.75pt;height:14.25pt" o:ole="">
            <v:imagedata r:id="rId63" o:title=""/>
          </v:shape>
          <o:OLEObject Type="Embed" ProgID="Equation.3" ShapeID="_x0000_i1052" DrawAspect="Content" ObjectID="_1830241138" r:id="rId64"/>
        </w:object>
      </w:r>
      <w:r w:rsidR="00552A04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53" type="#_x0000_t75" style="width:7.5pt;height:14.25pt" o:ole="">
            <v:imagedata r:id="rId47" o:title=""/>
          </v:shape>
          <o:OLEObject Type="Embed" ProgID="Equation.3" ShapeID="_x0000_i1053" DrawAspect="Content" ObjectID="_1830241139" r:id="rId65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39" w:dyaOrig="320">
          <v:shape id="_x0000_i1054" type="#_x0000_t75" style="width:28.5pt;height:14.25pt" o:ole="">
            <v:imagedata r:id="rId66" o:title=""/>
          </v:shape>
          <o:OLEObject Type="Embed" ProgID="Equation.3" ShapeID="_x0000_i1054" DrawAspect="Content" ObjectID="_1830241140" r:id="rId67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2A04" w:rsidRPr="00DA3E88" w:rsidRDefault="007773C6" w:rsidP="00552A0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55" type="#_x0000_t75" style="width:28.5pt;height:21.75pt" o:ole="">
            <v:imagedata r:id="rId68" o:title=""/>
          </v:shape>
          <o:OLEObject Type="Embed" ProgID="Equation.3" ShapeID="_x0000_i1055" DrawAspect="Content" ObjectID="_1830241141" r:id="rId69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140745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56" type="#_x0000_t75" style="width:7.5pt;height:14.25pt" o:ole="">
            <v:imagedata r:id="rId70" o:title=""/>
          </v:shape>
          <o:OLEObject Type="Embed" ProgID="Equation.3" ShapeID="_x0000_i1056" DrawAspect="Content" ObjectID="_1830241142" r:id="rId71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="00140745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57" type="#_x0000_t75" style="width:14.25pt;height:14.25pt" o:ole="">
            <v:imagedata r:id="rId72" o:title=""/>
          </v:shape>
          <o:OLEObject Type="Embed" ProgID="Equation.3" ShapeID="_x0000_i1057" DrawAspect="Content" ObjectID="_1830241143" r:id="rId73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140745"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360" w:dyaOrig="320">
          <v:shape id="_x0000_i1058" type="#_x0000_t75" style="width:21.75pt;height:14.25pt" o:ole="">
            <v:imagedata r:id="rId74" o:title=""/>
          </v:shape>
          <o:OLEObject Type="Embed" ProgID="Equation.3" ShapeID="_x0000_i1058" DrawAspect="Content" ObjectID="_1830241144" r:id="rId75"/>
        </w:object>
      </w:r>
      <w:r w:rsidR="00552A04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59" type="#_x0000_t75" style="width:21.75pt;height:14.25pt" o:ole="">
            <v:imagedata r:id="rId76" o:title=""/>
          </v:shape>
          <o:OLEObject Type="Embed" ProgID="Equation.3" ShapeID="_x0000_i1059" DrawAspect="Content" ObjectID="_1830241145" r:id="rId77"/>
        </w:object>
      </w:r>
      <w:r w:rsidR="00552A04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60" type="#_x0000_t75" style="width:7.5pt;height:14.25pt" o:ole="">
            <v:imagedata r:id="rId47" o:title=""/>
          </v:shape>
          <o:OLEObject Type="Embed" ProgID="Equation.3" ShapeID="_x0000_i1060" DrawAspect="Content" ObjectID="_1830241146" r:id="rId78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360" w:dyaOrig="320">
          <v:shape id="_x0000_i1061" type="#_x0000_t75" style="width:21.75pt;height:14.25pt" o:ole="">
            <v:imagedata r:id="rId79" o:title=""/>
          </v:shape>
          <o:OLEObject Type="Embed" ProgID="Equation.3" ShapeID="_x0000_i1061" DrawAspect="Content" ObjectID="_1830241147" r:id="rId80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2A04" w:rsidRPr="00DA3E88" w:rsidRDefault="007773C6" w:rsidP="00552A0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62" type="#_x0000_t75" style="width:28.5pt;height:21.75pt" o:ole="">
            <v:imagedata r:id="rId81" o:title=""/>
          </v:shape>
          <o:OLEObject Type="Embed" ProgID="Equation.3" ShapeID="_x0000_i1062" DrawAspect="Content" ObjectID="_1830241148" r:id="rId82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&gt;</w:t>
      </w:r>
      <w:r w:rsidR="00140745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63" type="#_x0000_t75" style="width:7.5pt;height:14.25pt" o:ole="">
            <v:imagedata r:id="rId83" o:title=""/>
          </v:shape>
          <o:OLEObject Type="Embed" ProgID="Equation.3" ShapeID="_x0000_i1063" DrawAspect="Content" ObjectID="_1830241149" r:id="rId84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="00140745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64" type="#_x0000_t75" style="width:14.25pt;height:14.25pt" o:ole="">
            <v:imagedata r:id="rId85" o:title=""/>
          </v:shape>
          <o:OLEObject Type="Embed" ProgID="Equation.3" ShapeID="_x0000_i1064" DrawAspect="Content" ObjectID="_1830241150" r:id="rId86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39" w:dyaOrig="320">
          <v:shape id="_x0000_i1065" type="#_x0000_t75" style="width:28.5pt;height:14.25pt" o:ole="">
            <v:imagedata r:id="rId87" o:title=""/>
          </v:shape>
          <o:OLEObject Type="Embed" ProgID="Equation.3" ShapeID="_x0000_i1065" DrawAspect="Content" ObjectID="_1830241151" r:id="rId88"/>
        </w:object>
      </w:r>
      <w:r w:rsidR="00552A04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66" type="#_x0000_t75" style="width:21.75pt;height:14.25pt" o:ole="">
            <v:imagedata r:id="rId76" o:title=""/>
          </v:shape>
          <o:OLEObject Type="Embed" ProgID="Equation.3" ShapeID="_x0000_i1066" DrawAspect="Content" ObjectID="_1830241152" r:id="rId89"/>
        </w:object>
      </w:r>
      <w:r w:rsidR="00552A04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67" type="#_x0000_t75" style="width:7.5pt;height:14.25pt" o:ole="">
            <v:imagedata r:id="rId47" o:title=""/>
          </v:shape>
          <o:OLEObject Type="Embed" ProgID="Equation.3" ShapeID="_x0000_i1067" DrawAspect="Content" ObjectID="_1830241153" r:id="rId90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80" w:dyaOrig="320">
          <v:shape id="_x0000_i1068" type="#_x0000_t75" style="width:36pt;height:14.25pt" o:ole="">
            <v:imagedata r:id="rId91" o:title=""/>
          </v:shape>
          <o:OLEObject Type="Embed" ProgID="Equation.3" ShapeID="_x0000_i1068" DrawAspect="Content" ObjectID="_1830241154" r:id="rId92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Формула (2) показывает какова вероятность потери капитала (например, при </w:t>
      </w:r>
      <w:r w:rsidR="00140745" w:rsidRPr="00DA3E8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69" type="#_x0000_t75" style="width:28.5pt;height:21.75pt" o:ole="">
            <v:imagedata r:id="rId93" o:title=""/>
          </v:shape>
          <o:OLEObject Type="Embed" ProgID="Equation.3" ShapeID="_x0000_i1069" DrawAspect="Content" ObjectID="_1830241155" r:id="rId94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&gt;</w:t>
      </w:r>
      <w:r w:rsidR="00140745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70" type="#_x0000_t75" style="width:7.5pt;height:14.25pt" o:ole="">
            <v:imagedata r:id="rId95" o:title=""/>
          </v:shape>
          <o:OLEObject Type="Embed" ProgID="Equation.3" ShapeID="_x0000_i1070" DrawAspect="Content" ObjectID="_1830241156" r:id="rId96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вероятность потери минимальна и значит, инвестор при таком выборе получит 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lastRenderedPageBreak/>
        <w:t>выгоды, которые без анализа риска были бы упущены). Поэтому анализ риска расширяет возможности существующих методов и тем, самым позволяет инвестору отказаться от необоснованных затрат.</w:t>
      </w: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СПИСОК ИСТОЧНИКОВ</w:t>
      </w: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52A04" w:rsidRPr="00DA3E88" w:rsidRDefault="00140745" w:rsidP="001407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Руководство по прогнозированию интенсивности движения на автомобильных дорогах (для опытного применения): отраслевой дор. метод. док.: утв. Распоряжением Минтранса России 19.06.2003 № ОС – 555-р.</w:t>
      </w:r>
    </w:p>
    <w:p w:rsidR="00552A04" w:rsidRPr="00DA3E88" w:rsidRDefault="00140745" w:rsidP="001407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2. 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Столяров В.В. Экспертиза дорожно-транспортных происшествий на основе теории риска: </w:t>
      </w:r>
      <w:r w:rsidR="002271F1" w:rsidRPr="00DA3E8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чеб</w:t>
      </w:r>
      <w:r w:rsidR="002271F1" w:rsidRPr="00DA3E8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пособие</w:t>
      </w:r>
      <w:r w:rsidR="002271F1" w:rsidRPr="00DA3E88">
        <w:rPr>
          <w:rFonts w:ascii="Times New Roman" w:hAnsi="Times New Roman"/>
          <w:color w:val="000000" w:themeColor="text1"/>
          <w:sz w:val="24"/>
          <w:szCs w:val="24"/>
        </w:rPr>
        <w:t>. Саратов: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Сарат. гос. техн. ун-т, 1996. 176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с.</w:t>
      </w:r>
    </w:p>
    <w:p w:rsidR="00552A04" w:rsidRPr="00DA3E88" w:rsidRDefault="00140745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3. </w:t>
      </w:r>
      <w:r w:rsidR="002271F1" w:rsidRPr="00DA3E88">
        <w:rPr>
          <w:rFonts w:ascii="Times New Roman" w:hAnsi="Times New Roman"/>
          <w:color w:val="000000" w:themeColor="text1"/>
          <w:sz w:val="24"/>
          <w:szCs w:val="24"/>
        </w:rPr>
        <w:t>Столяров В.В., Бажанов А.П. Совершенствование методов применения принципов технического регулирования в дорожной деятельности: моногр. Пенза: ПГУАС, 2014. 212 с.</w:t>
      </w:r>
    </w:p>
    <w:p w:rsidR="00552A04" w:rsidRPr="00DA3E88" w:rsidRDefault="00552A04" w:rsidP="00552A04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552A04" w:rsidRPr="00DA3E88" w:rsidSect="009853E3">
      <w:footerReference w:type="even" r:id="rId97"/>
      <w:footerReference w:type="default" r:id="rId98"/>
      <w:footerReference w:type="first" r:id="rId99"/>
      <w:pgSz w:w="11906" w:h="16838" w:code="9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474" w:rsidRDefault="00710474">
      <w:pPr>
        <w:spacing w:after="0" w:line="240" w:lineRule="auto"/>
      </w:pPr>
      <w:r>
        <w:separator/>
      </w:r>
    </w:p>
  </w:endnote>
  <w:endnote w:type="continuationSeparator" w:id="0">
    <w:p w:rsidR="00710474" w:rsidRDefault="0071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518375393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ind w:firstLine="0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DC7BEB">
          <w:rPr>
            <w:rFonts w:ascii="Times New Roman" w:hAnsi="Times New Roman"/>
            <w:noProof/>
          </w:rPr>
          <w:t>4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886827056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jc w:val="right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DC7BEB">
          <w:rPr>
            <w:rFonts w:ascii="Times New Roman" w:hAnsi="Times New Roman"/>
            <w:noProof/>
          </w:rPr>
          <w:t>3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9036"/>
      <w:docPartObj>
        <w:docPartGallery w:val="Page Numbers (Bottom of Page)"/>
        <w:docPartUnique/>
      </w:docPartObj>
    </w:sdtPr>
    <w:sdtEndPr/>
    <w:sdtContent>
      <w:p w:rsidR="00C7409C" w:rsidRDefault="00C7409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C7409C" w:rsidRDefault="00C7409C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474" w:rsidRDefault="00710474">
      <w:pPr>
        <w:spacing w:after="0" w:line="240" w:lineRule="auto"/>
      </w:pPr>
      <w:r>
        <w:separator/>
      </w:r>
    </w:p>
  </w:footnote>
  <w:footnote w:type="continuationSeparator" w:id="0">
    <w:p w:rsidR="00710474" w:rsidRDefault="0071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05307"/>
    <w:multiLevelType w:val="hybridMultilevel"/>
    <w:tmpl w:val="06289F2E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3556D"/>
    <w:multiLevelType w:val="hybridMultilevel"/>
    <w:tmpl w:val="22BA8F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B2663"/>
    <w:multiLevelType w:val="hybridMultilevel"/>
    <w:tmpl w:val="A664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206026"/>
    <w:multiLevelType w:val="hybridMultilevel"/>
    <w:tmpl w:val="CC8C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02ABD"/>
    <w:multiLevelType w:val="hybridMultilevel"/>
    <w:tmpl w:val="2DA69586"/>
    <w:lvl w:ilvl="0" w:tplc="472012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0E75425D"/>
    <w:multiLevelType w:val="hybridMultilevel"/>
    <w:tmpl w:val="3530C66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2B04F9"/>
    <w:multiLevelType w:val="hybridMultilevel"/>
    <w:tmpl w:val="DCAC3974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41358B0"/>
    <w:multiLevelType w:val="hybridMultilevel"/>
    <w:tmpl w:val="44A4D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A019C7"/>
    <w:multiLevelType w:val="hybridMultilevel"/>
    <w:tmpl w:val="21787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D96FA3"/>
    <w:multiLevelType w:val="hybridMultilevel"/>
    <w:tmpl w:val="02B2B8B6"/>
    <w:lvl w:ilvl="0" w:tplc="C85E66A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201D251C"/>
    <w:multiLevelType w:val="hybridMultilevel"/>
    <w:tmpl w:val="E6BC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3EA4"/>
    <w:multiLevelType w:val="singleLevel"/>
    <w:tmpl w:val="97C25FD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26914F15"/>
    <w:multiLevelType w:val="singleLevel"/>
    <w:tmpl w:val="105E4A18"/>
    <w:lvl w:ilvl="0">
      <w:start w:val="3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7870F83"/>
    <w:multiLevelType w:val="hybridMultilevel"/>
    <w:tmpl w:val="CB0C2BDE"/>
    <w:lvl w:ilvl="0" w:tplc="6BB0B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0529"/>
    <w:multiLevelType w:val="hybridMultilevel"/>
    <w:tmpl w:val="BAD87C94"/>
    <w:lvl w:ilvl="0" w:tplc="204C6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829BB"/>
    <w:multiLevelType w:val="hybridMultilevel"/>
    <w:tmpl w:val="A1F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14BBA"/>
    <w:multiLevelType w:val="hybridMultilevel"/>
    <w:tmpl w:val="223807A8"/>
    <w:lvl w:ilvl="0" w:tplc="9C60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4B13AC"/>
    <w:multiLevelType w:val="hybridMultilevel"/>
    <w:tmpl w:val="E67480B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177C3D"/>
    <w:multiLevelType w:val="hybridMultilevel"/>
    <w:tmpl w:val="567AFFC8"/>
    <w:lvl w:ilvl="0" w:tplc="E278D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B0EB8"/>
    <w:multiLevelType w:val="multilevel"/>
    <w:tmpl w:val="BA20040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1FA7323"/>
    <w:multiLevelType w:val="hybridMultilevel"/>
    <w:tmpl w:val="2A9E73D0"/>
    <w:lvl w:ilvl="0" w:tplc="90C8EF4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20107E4"/>
    <w:multiLevelType w:val="hybridMultilevel"/>
    <w:tmpl w:val="9370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83375"/>
    <w:multiLevelType w:val="hybridMultilevel"/>
    <w:tmpl w:val="A9BC1498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C2DA2"/>
    <w:multiLevelType w:val="hybridMultilevel"/>
    <w:tmpl w:val="36301C7E"/>
    <w:lvl w:ilvl="0" w:tplc="716A5D0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F96EE1"/>
    <w:multiLevelType w:val="hybridMultilevel"/>
    <w:tmpl w:val="2A04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1FBF"/>
    <w:multiLevelType w:val="hybridMultilevel"/>
    <w:tmpl w:val="43F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D16FE"/>
    <w:multiLevelType w:val="hybridMultilevel"/>
    <w:tmpl w:val="7FB2625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F6009"/>
    <w:multiLevelType w:val="hybridMultilevel"/>
    <w:tmpl w:val="83BA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538DF"/>
    <w:multiLevelType w:val="hybridMultilevel"/>
    <w:tmpl w:val="DEE463EC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FAD0A9C"/>
    <w:multiLevelType w:val="hybridMultilevel"/>
    <w:tmpl w:val="FCA4E010"/>
    <w:lvl w:ilvl="0" w:tplc="FFFFFFFF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7" w15:restartNumberingAfterBreak="0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314EEB"/>
    <w:multiLevelType w:val="hybridMultilevel"/>
    <w:tmpl w:val="36D6F850"/>
    <w:lvl w:ilvl="0" w:tplc="D2FA6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9"/>
  </w:num>
  <w:num w:numId="3">
    <w:abstractNumId w:val="3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35"/>
  </w:num>
  <w:num w:numId="7">
    <w:abstractNumId w:val="5"/>
  </w:num>
  <w:num w:numId="8">
    <w:abstractNumId w:val="37"/>
  </w:num>
  <w:num w:numId="9">
    <w:abstractNumId w:val="10"/>
  </w:num>
  <w:num w:numId="10">
    <w:abstractNumId w:val="21"/>
  </w:num>
  <w:num w:numId="11">
    <w:abstractNumId w:val="38"/>
  </w:num>
  <w:num w:numId="12">
    <w:abstractNumId w:val="30"/>
  </w:num>
  <w:num w:numId="13">
    <w:abstractNumId w:val="26"/>
  </w:num>
  <w:num w:numId="14">
    <w:abstractNumId w:val="36"/>
  </w:num>
  <w:num w:numId="15">
    <w:abstractNumId w:val="17"/>
  </w:num>
  <w:num w:numId="16">
    <w:abstractNumId w:val="8"/>
  </w:num>
  <w:num w:numId="17">
    <w:abstractNumId w:val="4"/>
  </w:num>
  <w:num w:numId="18">
    <w:abstractNumId w:val="24"/>
  </w:num>
  <w:num w:numId="19">
    <w:abstractNumId w:val="22"/>
  </w:num>
  <w:num w:numId="20">
    <w:abstractNumId w:val="18"/>
  </w:num>
  <w:num w:numId="21">
    <w:abstractNumId w:val="20"/>
  </w:num>
  <w:num w:numId="22">
    <w:abstractNumId w:val="27"/>
  </w:num>
  <w:num w:numId="23">
    <w:abstractNumId w:val="3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31"/>
  </w:num>
  <w:num w:numId="37">
    <w:abstractNumId w:val="19"/>
  </w:num>
  <w:num w:numId="38">
    <w:abstractNumId w:val="6"/>
  </w:num>
  <w:num w:numId="39">
    <w:abstractNumId w:val="13"/>
  </w:num>
  <w:num w:numId="4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D"/>
    <w:rsid w:val="00006826"/>
    <w:rsid w:val="000116E3"/>
    <w:rsid w:val="00013EB1"/>
    <w:rsid w:val="000147FE"/>
    <w:rsid w:val="00026D9B"/>
    <w:rsid w:val="00031571"/>
    <w:rsid w:val="00040B9B"/>
    <w:rsid w:val="00043BF2"/>
    <w:rsid w:val="0005720E"/>
    <w:rsid w:val="00061E82"/>
    <w:rsid w:val="000736B0"/>
    <w:rsid w:val="00073DF2"/>
    <w:rsid w:val="0007774B"/>
    <w:rsid w:val="000817D8"/>
    <w:rsid w:val="00082E7F"/>
    <w:rsid w:val="0008412C"/>
    <w:rsid w:val="00085F6C"/>
    <w:rsid w:val="0008714E"/>
    <w:rsid w:val="00090855"/>
    <w:rsid w:val="000912E0"/>
    <w:rsid w:val="000A6F48"/>
    <w:rsid w:val="000C0E77"/>
    <w:rsid w:val="000C5F1C"/>
    <w:rsid w:val="000D1413"/>
    <w:rsid w:val="000E057E"/>
    <w:rsid w:val="000E1793"/>
    <w:rsid w:val="000E1886"/>
    <w:rsid w:val="000E3BD0"/>
    <w:rsid w:val="000F41D1"/>
    <w:rsid w:val="000F5C52"/>
    <w:rsid w:val="00103418"/>
    <w:rsid w:val="00117CCF"/>
    <w:rsid w:val="00122E25"/>
    <w:rsid w:val="00125C02"/>
    <w:rsid w:val="00127114"/>
    <w:rsid w:val="0013223E"/>
    <w:rsid w:val="001347AE"/>
    <w:rsid w:val="00135463"/>
    <w:rsid w:val="00140745"/>
    <w:rsid w:val="00141480"/>
    <w:rsid w:val="00141BB3"/>
    <w:rsid w:val="00143521"/>
    <w:rsid w:val="001518EE"/>
    <w:rsid w:val="00156DA0"/>
    <w:rsid w:val="00156F4B"/>
    <w:rsid w:val="001610D4"/>
    <w:rsid w:val="00175104"/>
    <w:rsid w:val="001846C7"/>
    <w:rsid w:val="00190E83"/>
    <w:rsid w:val="00193D62"/>
    <w:rsid w:val="0019526C"/>
    <w:rsid w:val="00196448"/>
    <w:rsid w:val="00197C02"/>
    <w:rsid w:val="001A62E2"/>
    <w:rsid w:val="001B404B"/>
    <w:rsid w:val="001C13E5"/>
    <w:rsid w:val="001C3553"/>
    <w:rsid w:val="001D1B58"/>
    <w:rsid w:val="001D72DA"/>
    <w:rsid w:val="001E36EC"/>
    <w:rsid w:val="001E76D2"/>
    <w:rsid w:val="001F3383"/>
    <w:rsid w:val="00202EFF"/>
    <w:rsid w:val="00206FE6"/>
    <w:rsid w:val="00210540"/>
    <w:rsid w:val="00210635"/>
    <w:rsid w:val="002219AF"/>
    <w:rsid w:val="002271F1"/>
    <w:rsid w:val="002317E6"/>
    <w:rsid w:val="00241EE9"/>
    <w:rsid w:val="00242166"/>
    <w:rsid w:val="00243221"/>
    <w:rsid w:val="00244708"/>
    <w:rsid w:val="002469A6"/>
    <w:rsid w:val="002469F6"/>
    <w:rsid w:val="00260F76"/>
    <w:rsid w:val="00262978"/>
    <w:rsid w:val="0026418F"/>
    <w:rsid w:val="00265084"/>
    <w:rsid w:val="0026530C"/>
    <w:rsid w:val="002754C1"/>
    <w:rsid w:val="00277546"/>
    <w:rsid w:val="00281661"/>
    <w:rsid w:val="002820DA"/>
    <w:rsid w:val="00285A40"/>
    <w:rsid w:val="00294D15"/>
    <w:rsid w:val="002A7BB3"/>
    <w:rsid w:val="002A7C1C"/>
    <w:rsid w:val="002B12B7"/>
    <w:rsid w:val="002B3C70"/>
    <w:rsid w:val="002C0391"/>
    <w:rsid w:val="002C2ADF"/>
    <w:rsid w:val="002C4FB9"/>
    <w:rsid w:val="002C55DC"/>
    <w:rsid w:val="002D0C4F"/>
    <w:rsid w:val="002D397E"/>
    <w:rsid w:val="002D437C"/>
    <w:rsid w:val="002E2855"/>
    <w:rsid w:val="002F2337"/>
    <w:rsid w:val="003046FF"/>
    <w:rsid w:val="003106AE"/>
    <w:rsid w:val="00312420"/>
    <w:rsid w:val="003175A0"/>
    <w:rsid w:val="003203B8"/>
    <w:rsid w:val="00323183"/>
    <w:rsid w:val="003242C1"/>
    <w:rsid w:val="00325856"/>
    <w:rsid w:val="00333948"/>
    <w:rsid w:val="00340AFD"/>
    <w:rsid w:val="0034167B"/>
    <w:rsid w:val="00345C14"/>
    <w:rsid w:val="00352169"/>
    <w:rsid w:val="00363C39"/>
    <w:rsid w:val="00364A62"/>
    <w:rsid w:val="0037167F"/>
    <w:rsid w:val="00373B1E"/>
    <w:rsid w:val="0037589E"/>
    <w:rsid w:val="00385708"/>
    <w:rsid w:val="00387C8D"/>
    <w:rsid w:val="0039250C"/>
    <w:rsid w:val="00392A59"/>
    <w:rsid w:val="003968C0"/>
    <w:rsid w:val="003A0FE8"/>
    <w:rsid w:val="003A3955"/>
    <w:rsid w:val="003A3F6E"/>
    <w:rsid w:val="003A5DCF"/>
    <w:rsid w:val="003A6EB6"/>
    <w:rsid w:val="003B59A5"/>
    <w:rsid w:val="003B63D3"/>
    <w:rsid w:val="003C449F"/>
    <w:rsid w:val="003D45FF"/>
    <w:rsid w:val="003D4B29"/>
    <w:rsid w:val="003D4E27"/>
    <w:rsid w:val="003D58A8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5386"/>
    <w:rsid w:val="00406277"/>
    <w:rsid w:val="00407D34"/>
    <w:rsid w:val="00415288"/>
    <w:rsid w:val="00422BE7"/>
    <w:rsid w:val="00422F9F"/>
    <w:rsid w:val="0042525F"/>
    <w:rsid w:val="004369F6"/>
    <w:rsid w:val="00441F56"/>
    <w:rsid w:val="004427A1"/>
    <w:rsid w:val="004453B5"/>
    <w:rsid w:val="00447FCB"/>
    <w:rsid w:val="0045070B"/>
    <w:rsid w:val="00452BBE"/>
    <w:rsid w:val="004544DF"/>
    <w:rsid w:val="00461F0F"/>
    <w:rsid w:val="004657FB"/>
    <w:rsid w:val="00473142"/>
    <w:rsid w:val="004748BD"/>
    <w:rsid w:val="00480E78"/>
    <w:rsid w:val="00483726"/>
    <w:rsid w:val="004914CF"/>
    <w:rsid w:val="0049164A"/>
    <w:rsid w:val="0049399A"/>
    <w:rsid w:val="00495E5A"/>
    <w:rsid w:val="0049768E"/>
    <w:rsid w:val="004977B5"/>
    <w:rsid w:val="004A07E9"/>
    <w:rsid w:val="004B32FE"/>
    <w:rsid w:val="004B3A56"/>
    <w:rsid w:val="004D1ADC"/>
    <w:rsid w:val="004D64EF"/>
    <w:rsid w:val="004E054C"/>
    <w:rsid w:val="00500AA4"/>
    <w:rsid w:val="00504D0F"/>
    <w:rsid w:val="00506431"/>
    <w:rsid w:val="005073FA"/>
    <w:rsid w:val="00511259"/>
    <w:rsid w:val="00515EDA"/>
    <w:rsid w:val="005231D7"/>
    <w:rsid w:val="00523793"/>
    <w:rsid w:val="005276A3"/>
    <w:rsid w:val="00541CCE"/>
    <w:rsid w:val="00542D98"/>
    <w:rsid w:val="00552A04"/>
    <w:rsid w:val="00556197"/>
    <w:rsid w:val="005603AA"/>
    <w:rsid w:val="00565663"/>
    <w:rsid w:val="00570126"/>
    <w:rsid w:val="005705DA"/>
    <w:rsid w:val="005722F0"/>
    <w:rsid w:val="00577B55"/>
    <w:rsid w:val="005934B5"/>
    <w:rsid w:val="00597F68"/>
    <w:rsid w:val="005A0264"/>
    <w:rsid w:val="005A21AA"/>
    <w:rsid w:val="005A5773"/>
    <w:rsid w:val="005A71A6"/>
    <w:rsid w:val="005C1AFB"/>
    <w:rsid w:val="005D2791"/>
    <w:rsid w:val="005D5537"/>
    <w:rsid w:val="005E615D"/>
    <w:rsid w:val="006038FC"/>
    <w:rsid w:val="00606124"/>
    <w:rsid w:val="006061D1"/>
    <w:rsid w:val="00614B62"/>
    <w:rsid w:val="0061714F"/>
    <w:rsid w:val="0062094F"/>
    <w:rsid w:val="00621E9F"/>
    <w:rsid w:val="00631C64"/>
    <w:rsid w:val="00633464"/>
    <w:rsid w:val="006343D8"/>
    <w:rsid w:val="00636F9A"/>
    <w:rsid w:val="0064013C"/>
    <w:rsid w:val="00642026"/>
    <w:rsid w:val="00644C40"/>
    <w:rsid w:val="00647B12"/>
    <w:rsid w:val="006535EE"/>
    <w:rsid w:val="00654A58"/>
    <w:rsid w:val="00660851"/>
    <w:rsid w:val="00661266"/>
    <w:rsid w:val="006617C1"/>
    <w:rsid w:val="0066516C"/>
    <w:rsid w:val="00677230"/>
    <w:rsid w:val="0068582C"/>
    <w:rsid w:val="006900DD"/>
    <w:rsid w:val="00690B5A"/>
    <w:rsid w:val="00690BED"/>
    <w:rsid w:val="00693107"/>
    <w:rsid w:val="006940D0"/>
    <w:rsid w:val="0069545E"/>
    <w:rsid w:val="006A0925"/>
    <w:rsid w:val="006A0D7A"/>
    <w:rsid w:val="006B0B36"/>
    <w:rsid w:val="006B1A7E"/>
    <w:rsid w:val="006B4B1A"/>
    <w:rsid w:val="006C4560"/>
    <w:rsid w:val="006D056A"/>
    <w:rsid w:val="006D2866"/>
    <w:rsid w:val="006D668C"/>
    <w:rsid w:val="006E4A4F"/>
    <w:rsid w:val="006F056B"/>
    <w:rsid w:val="006F239E"/>
    <w:rsid w:val="006F24C3"/>
    <w:rsid w:val="006F3C5C"/>
    <w:rsid w:val="00710474"/>
    <w:rsid w:val="00721B5C"/>
    <w:rsid w:val="00722C70"/>
    <w:rsid w:val="00730052"/>
    <w:rsid w:val="00736370"/>
    <w:rsid w:val="007379CE"/>
    <w:rsid w:val="00746E44"/>
    <w:rsid w:val="0075363E"/>
    <w:rsid w:val="00755CDD"/>
    <w:rsid w:val="00757110"/>
    <w:rsid w:val="00766855"/>
    <w:rsid w:val="00767E8F"/>
    <w:rsid w:val="007773C6"/>
    <w:rsid w:val="00794BEF"/>
    <w:rsid w:val="00796B1C"/>
    <w:rsid w:val="007A0487"/>
    <w:rsid w:val="007A42D2"/>
    <w:rsid w:val="007B0264"/>
    <w:rsid w:val="007B27D0"/>
    <w:rsid w:val="007B3692"/>
    <w:rsid w:val="007C0529"/>
    <w:rsid w:val="007C7718"/>
    <w:rsid w:val="007D003D"/>
    <w:rsid w:val="007D184C"/>
    <w:rsid w:val="007E48EA"/>
    <w:rsid w:val="007F3EA7"/>
    <w:rsid w:val="007F4003"/>
    <w:rsid w:val="007F63AD"/>
    <w:rsid w:val="008042CE"/>
    <w:rsid w:val="00804303"/>
    <w:rsid w:val="00804FB6"/>
    <w:rsid w:val="00804FD2"/>
    <w:rsid w:val="00805C0C"/>
    <w:rsid w:val="00807A0E"/>
    <w:rsid w:val="008125FB"/>
    <w:rsid w:val="00820802"/>
    <w:rsid w:val="00825751"/>
    <w:rsid w:val="00831E62"/>
    <w:rsid w:val="00834096"/>
    <w:rsid w:val="008419C5"/>
    <w:rsid w:val="00843821"/>
    <w:rsid w:val="00843BDF"/>
    <w:rsid w:val="00847621"/>
    <w:rsid w:val="00850C03"/>
    <w:rsid w:val="00860A34"/>
    <w:rsid w:val="00861588"/>
    <w:rsid w:val="00865788"/>
    <w:rsid w:val="008733B4"/>
    <w:rsid w:val="00875631"/>
    <w:rsid w:val="0088285A"/>
    <w:rsid w:val="00890588"/>
    <w:rsid w:val="008B095D"/>
    <w:rsid w:val="008B3FA9"/>
    <w:rsid w:val="008C212D"/>
    <w:rsid w:val="008D4634"/>
    <w:rsid w:val="008D6631"/>
    <w:rsid w:val="008E271D"/>
    <w:rsid w:val="008E4493"/>
    <w:rsid w:val="008E537D"/>
    <w:rsid w:val="008F13FE"/>
    <w:rsid w:val="008F4E14"/>
    <w:rsid w:val="00900063"/>
    <w:rsid w:val="00902836"/>
    <w:rsid w:val="00903880"/>
    <w:rsid w:val="00903C34"/>
    <w:rsid w:val="00905956"/>
    <w:rsid w:val="00905A98"/>
    <w:rsid w:val="00912DCE"/>
    <w:rsid w:val="0093129D"/>
    <w:rsid w:val="009314DF"/>
    <w:rsid w:val="00960D0E"/>
    <w:rsid w:val="00960EC2"/>
    <w:rsid w:val="009629A0"/>
    <w:rsid w:val="00962FFF"/>
    <w:rsid w:val="00983601"/>
    <w:rsid w:val="009853E3"/>
    <w:rsid w:val="0098747C"/>
    <w:rsid w:val="00995703"/>
    <w:rsid w:val="009A0BB2"/>
    <w:rsid w:val="009A13C7"/>
    <w:rsid w:val="009A1E81"/>
    <w:rsid w:val="009A20A2"/>
    <w:rsid w:val="009A3994"/>
    <w:rsid w:val="009B27E3"/>
    <w:rsid w:val="009B3CA3"/>
    <w:rsid w:val="009D1904"/>
    <w:rsid w:val="009D23E5"/>
    <w:rsid w:val="009D2725"/>
    <w:rsid w:val="009D43C7"/>
    <w:rsid w:val="009D5D91"/>
    <w:rsid w:val="009E1F7F"/>
    <w:rsid w:val="009E7AE8"/>
    <w:rsid w:val="009F312D"/>
    <w:rsid w:val="009F4950"/>
    <w:rsid w:val="009F5A0E"/>
    <w:rsid w:val="00A02527"/>
    <w:rsid w:val="00A10D63"/>
    <w:rsid w:val="00A146B7"/>
    <w:rsid w:val="00A33F9D"/>
    <w:rsid w:val="00A40EC5"/>
    <w:rsid w:val="00A6042D"/>
    <w:rsid w:val="00A6499C"/>
    <w:rsid w:val="00A64D55"/>
    <w:rsid w:val="00A719F5"/>
    <w:rsid w:val="00A90FED"/>
    <w:rsid w:val="00A9169C"/>
    <w:rsid w:val="00A91D5D"/>
    <w:rsid w:val="00A92FB2"/>
    <w:rsid w:val="00A93CE9"/>
    <w:rsid w:val="00AA0103"/>
    <w:rsid w:val="00AA3DD1"/>
    <w:rsid w:val="00AA4545"/>
    <w:rsid w:val="00AB47E8"/>
    <w:rsid w:val="00AD4D61"/>
    <w:rsid w:val="00AD51BD"/>
    <w:rsid w:val="00AE4183"/>
    <w:rsid w:val="00AF3001"/>
    <w:rsid w:val="00AF3B15"/>
    <w:rsid w:val="00AF4B2D"/>
    <w:rsid w:val="00AF5F99"/>
    <w:rsid w:val="00B00A68"/>
    <w:rsid w:val="00B01A9D"/>
    <w:rsid w:val="00B0270A"/>
    <w:rsid w:val="00B04D48"/>
    <w:rsid w:val="00B04F4A"/>
    <w:rsid w:val="00B0684F"/>
    <w:rsid w:val="00B15AD6"/>
    <w:rsid w:val="00B203E8"/>
    <w:rsid w:val="00B242FA"/>
    <w:rsid w:val="00B24C06"/>
    <w:rsid w:val="00B26618"/>
    <w:rsid w:val="00B306EB"/>
    <w:rsid w:val="00B30EF6"/>
    <w:rsid w:val="00B33440"/>
    <w:rsid w:val="00B442FF"/>
    <w:rsid w:val="00B52980"/>
    <w:rsid w:val="00B5313C"/>
    <w:rsid w:val="00B53A08"/>
    <w:rsid w:val="00B65521"/>
    <w:rsid w:val="00B6750A"/>
    <w:rsid w:val="00B73F5E"/>
    <w:rsid w:val="00B74596"/>
    <w:rsid w:val="00B7585E"/>
    <w:rsid w:val="00B778BF"/>
    <w:rsid w:val="00B83F43"/>
    <w:rsid w:val="00B85DDC"/>
    <w:rsid w:val="00B95CDE"/>
    <w:rsid w:val="00BA2797"/>
    <w:rsid w:val="00BA533A"/>
    <w:rsid w:val="00BB2F51"/>
    <w:rsid w:val="00BB375B"/>
    <w:rsid w:val="00BB4799"/>
    <w:rsid w:val="00BB4BA6"/>
    <w:rsid w:val="00BC1F0F"/>
    <w:rsid w:val="00BD106C"/>
    <w:rsid w:val="00BD6A42"/>
    <w:rsid w:val="00BE5753"/>
    <w:rsid w:val="00BE7949"/>
    <w:rsid w:val="00BF6A7F"/>
    <w:rsid w:val="00C12980"/>
    <w:rsid w:val="00C1547C"/>
    <w:rsid w:val="00C230DD"/>
    <w:rsid w:val="00C25FFF"/>
    <w:rsid w:val="00C30038"/>
    <w:rsid w:val="00C33522"/>
    <w:rsid w:val="00C34BE9"/>
    <w:rsid w:val="00C4513B"/>
    <w:rsid w:val="00C45CAD"/>
    <w:rsid w:val="00C5548E"/>
    <w:rsid w:val="00C61B58"/>
    <w:rsid w:val="00C62067"/>
    <w:rsid w:val="00C6259F"/>
    <w:rsid w:val="00C636B7"/>
    <w:rsid w:val="00C656B7"/>
    <w:rsid w:val="00C7409C"/>
    <w:rsid w:val="00C74151"/>
    <w:rsid w:val="00C74362"/>
    <w:rsid w:val="00C85420"/>
    <w:rsid w:val="00C86999"/>
    <w:rsid w:val="00CA0543"/>
    <w:rsid w:val="00CA137B"/>
    <w:rsid w:val="00CA2935"/>
    <w:rsid w:val="00CB14F0"/>
    <w:rsid w:val="00CC4E1B"/>
    <w:rsid w:val="00CD2773"/>
    <w:rsid w:val="00CD37C6"/>
    <w:rsid w:val="00CD7211"/>
    <w:rsid w:val="00CE3C59"/>
    <w:rsid w:val="00CF2D0F"/>
    <w:rsid w:val="00CF69B2"/>
    <w:rsid w:val="00D04F1E"/>
    <w:rsid w:val="00D05820"/>
    <w:rsid w:val="00D07C3D"/>
    <w:rsid w:val="00D11D03"/>
    <w:rsid w:val="00D12E8E"/>
    <w:rsid w:val="00D17101"/>
    <w:rsid w:val="00D21D05"/>
    <w:rsid w:val="00D22BFD"/>
    <w:rsid w:val="00D25812"/>
    <w:rsid w:val="00D3260C"/>
    <w:rsid w:val="00D441C2"/>
    <w:rsid w:val="00D4505C"/>
    <w:rsid w:val="00D55816"/>
    <w:rsid w:val="00D55A77"/>
    <w:rsid w:val="00D7190B"/>
    <w:rsid w:val="00D7271A"/>
    <w:rsid w:val="00D8428A"/>
    <w:rsid w:val="00D86CF5"/>
    <w:rsid w:val="00D930BF"/>
    <w:rsid w:val="00D96AF5"/>
    <w:rsid w:val="00DA2468"/>
    <w:rsid w:val="00DA3D98"/>
    <w:rsid w:val="00DA3E88"/>
    <w:rsid w:val="00DA401A"/>
    <w:rsid w:val="00DA69A9"/>
    <w:rsid w:val="00DB0505"/>
    <w:rsid w:val="00DB3ADF"/>
    <w:rsid w:val="00DB49EB"/>
    <w:rsid w:val="00DC216B"/>
    <w:rsid w:val="00DC5242"/>
    <w:rsid w:val="00DC7BEB"/>
    <w:rsid w:val="00DD6020"/>
    <w:rsid w:val="00DE0790"/>
    <w:rsid w:val="00DE5AB4"/>
    <w:rsid w:val="00DE695B"/>
    <w:rsid w:val="00DF4C4D"/>
    <w:rsid w:val="00E01C1D"/>
    <w:rsid w:val="00E072B4"/>
    <w:rsid w:val="00E11DAD"/>
    <w:rsid w:val="00E13124"/>
    <w:rsid w:val="00E13A03"/>
    <w:rsid w:val="00E27BCF"/>
    <w:rsid w:val="00E448D1"/>
    <w:rsid w:val="00E45F2C"/>
    <w:rsid w:val="00E54D2E"/>
    <w:rsid w:val="00E57B0A"/>
    <w:rsid w:val="00E71CDB"/>
    <w:rsid w:val="00E7683F"/>
    <w:rsid w:val="00E7727D"/>
    <w:rsid w:val="00E77ED1"/>
    <w:rsid w:val="00E81C16"/>
    <w:rsid w:val="00E84D2F"/>
    <w:rsid w:val="00E84D70"/>
    <w:rsid w:val="00E937AC"/>
    <w:rsid w:val="00E942CD"/>
    <w:rsid w:val="00E9665B"/>
    <w:rsid w:val="00EA1BA7"/>
    <w:rsid w:val="00EA25DB"/>
    <w:rsid w:val="00EA3865"/>
    <w:rsid w:val="00EA6DE1"/>
    <w:rsid w:val="00EA79A9"/>
    <w:rsid w:val="00EB152B"/>
    <w:rsid w:val="00EB40CC"/>
    <w:rsid w:val="00EB6B5A"/>
    <w:rsid w:val="00EC19DA"/>
    <w:rsid w:val="00ED108E"/>
    <w:rsid w:val="00ED3B87"/>
    <w:rsid w:val="00ED52D3"/>
    <w:rsid w:val="00EE2E4D"/>
    <w:rsid w:val="00EE3821"/>
    <w:rsid w:val="00EE3CED"/>
    <w:rsid w:val="00EE6D98"/>
    <w:rsid w:val="00EF2EC1"/>
    <w:rsid w:val="00F014FD"/>
    <w:rsid w:val="00F01D77"/>
    <w:rsid w:val="00F01F70"/>
    <w:rsid w:val="00F043C7"/>
    <w:rsid w:val="00F102FE"/>
    <w:rsid w:val="00F12C5A"/>
    <w:rsid w:val="00F16E86"/>
    <w:rsid w:val="00F207D8"/>
    <w:rsid w:val="00F21419"/>
    <w:rsid w:val="00F26C68"/>
    <w:rsid w:val="00F31E28"/>
    <w:rsid w:val="00F52E94"/>
    <w:rsid w:val="00F55EF3"/>
    <w:rsid w:val="00F56680"/>
    <w:rsid w:val="00F64A40"/>
    <w:rsid w:val="00F662CB"/>
    <w:rsid w:val="00F668F7"/>
    <w:rsid w:val="00F67FE7"/>
    <w:rsid w:val="00F831CE"/>
    <w:rsid w:val="00F83FBA"/>
    <w:rsid w:val="00F90562"/>
    <w:rsid w:val="00F91A74"/>
    <w:rsid w:val="00F96378"/>
    <w:rsid w:val="00F96883"/>
    <w:rsid w:val="00FB4BDE"/>
    <w:rsid w:val="00FC37B7"/>
    <w:rsid w:val="00FD0345"/>
    <w:rsid w:val="00FD4643"/>
    <w:rsid w:val="00FD6348"/>
    <w:rsid w:val="00FE75F1"/>
    <w:rsid w:val="00FF520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DB9351-CC2B-4B83-B5A6-37BFD182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D1"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uiPriority w:val="35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Заголовок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552A04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552A04"/>
  </w:style>
  <w:style w:type="character" w:customStyle="1" w:styleId="help">
    <w:name w:val="help"/>
    <w:basedOn w:val="a0"/>
    <w:rsid w:val="00552A04"/>
  </w:style>
  <w:style w:type="character" w:customStyle="1" w:styleId="1b">
    <w:name w:val="Неразрешенное упоминание1"/>
    <w:basedOn w:val="a0"/>
    <w:uiPriority w:val="99"/>
    <w:semiHidden/>
    <w:unhideWhenUsed/>
    <w:rsid w:val="00552A04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8">
    <w:name w:val="Текст сноски Знак"/>
    <w:basedOn w:val="a0"/>
    <w:link w:val="aff7"/>
    <w:uiPriority w:val="99"/>
    <w:semiHidden/>
    <w:rsid w:val="00552A04"/>
    <w:rPr>
      <w:sz w:val="20"/>
      <w:szCs w:val="20"/>
      <w:lang w:val="en-US"/>
    </w:rPr>
  </w:style>
  <w:style w:type="character" w:styleId="aff9">
    <w:name w:val="footnote reference"/>
    <w:basedOn w:val="a0"/>
    <w:uiPriority w:val="99"/>
    <w:semiHidden/>
    <w:unhideWhenUsed/>
    <w:rsid w:val="00552A04"/>
    <w:rPr>
      <w:vertAlign w:val="superscript"/>
    </w:rPr>
  </w:style>
  <w:style w:type="paragraph" w:styleId="affa">
    <w:name w:val="endnote text"/>
    <w:basedOn w:val="a"/>
    <w:link w:val="affb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552A04"/>
    <w:rPr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552A04"/>
    <w:rPr>
      <w:vertAlign w:val="superscript"/>
    </w:rPr>
  </w:style>
  <w:style w:type="character" w:customStyle="1" w:styleId="value">
    <w:name w:val="value"/>
    <w:basedOn w:val="a0"/>
    <w:rsid w:val="00552A04"/>
  </w:style>
  <w:style w:type="character" w:customStyle="1" w:styleId="nlmstring-name">
    <w:name w:val="nlm_string-name"/>
    <w:basedOn w:val="a0"/>
    <w:rsid w:val="00552A04"/>
  </w:style>
  <w:style w:type="character" w:styleId="affd">
    <w:name w:val="Emphasis"/>
    <w:basedOn w:val="a0"/>
    <w:uiPriority w:val="20"/>
    <w:qFormat/>
    <w:rsid w:val="00552A04"/>
    <w:rPr>
      <w:i/>
      <w:iCs/>
    </w:rPr>
  </w:style>
  <w:style w:type="character" w:customStyle="1" w:styleId="ezkurwreuab5ozgtqnkl">
    <w:name w:val="ezkurwreuab5ozgtqnkl"/>
    <w:basedOn w:val="a0"/>
    <w:rsid w:val="00552A04"/>
  </w:style>
  <w:style w:type="character" w:customStyle="1" w:styleId="1c">
    <w:name w:val="Нижний колонтитул Знак1"/>
    <w:basedOn w:val="a0"/>
    <w:semiHidden/>
    <w:rsid w:val="00552A04"/>
  </w:style>
  <w:style w:type="paragraph" w:customStyle="1" w:styleId="Style3">
    <w:name w:val="Style3"/>
    <w:basedOn w:val="a"/>
    <w:rsid w:val="00552A04"/>
    <w:pPr>
      <w:widowControl w:val="0"/>
      <w:autoSpaceDE w:val="0"/>
      <w:autoSpaceDN w:val="0"/>
      <w:adjustRightInd w:val="0"/>
      <w:spacing w:after="0" w:line="36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193D62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hps">
    <w:name w:val="hps"/>
    <w:basedOn w:val="a0"/>
    <w:rsid w:val="00193D62"/>
  </w:style>
  <w:style w:type="paragraph" w:customStyle="1" w:styleId="TTPReference">
    <w:name w:val="TTP Reference"/>
    <w:basedOn w:val="a"/>
    <w:uiPriority w:val="99"/>
    <w:rsid w:val="00193D62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Paragraphothers">
    <w:name w:val="TTP Paragraph (others)"/>
    <w:basedOn w:val="a"/>
    <w:uiPriority w:val="99"/>
    <w:rsid w:val="00193D62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193D62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a0"/>
    <w:rsid w:val="00193D62"/>
  </w:style>
  <w:style w:type="character" w:customStyle="1" w:styleId="affe">
    <w:name w:val="Основной текст + Полужирный"/>
    <w:rsid w:val="00193D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text-primary">
    <w:name w:val="text-primary"/>
    <w:basedOn w:val="a0"/>
    <w:rsid w:val="00193D62"/>
  </w:style>
  <w:style w:type="paragraph" w:customStyle="1" w:styleId="Aaoi">
    <w:name w:val="Aaoi?"/>
    <w:basedOn w:val="a8"/>
    <w:rsid w:val="004544DF"/>
    <w:pPr>
      <w:tabs>
        <w:tab w:val="right" w:pos="9072"/>
      </w:tabs>
      <w:spacing w:before="960" w:after="16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">
    <w:name w:val="рис"/>
    <w:basedOn w:val="a"/>
    <w:rsid w:val="004544DF"/>
    <w:pPr>
      <w:spacing w:before="100" w:after="1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5.bin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jpg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2.wmf"/><Relationship Id="rId98" Type="http://schemas.openxmlformats.org/officeDocument/2006/relationships/footer" Target="footer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33F2-FCE9-47A5-9003-2CF2BF41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149</cp:revision>
  <cp:lastPrinted>2025-04-16T10:23:00Z</cp:lastPrinted>
  <dcterms:created xsi:type="dcterms:W3CDTF">2025-03-14T11:10:00Z</dcterms:created>
  <dcterms:modified xsi:type="dcterms:W3CDTF">2026-01-18T07:11:00Z</dcterms:modified>
</cp:coreProperties>
</file>