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62" w:rsidRPr="00DA3E88" w:rsidRDefault="00193D62" w:rsidP="00193D6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УДК 69.05</w:t>
      </w:r>
    </w:p>
    <w:p w:rsidR="00905A98" w:rsidRPr="00DA3E88" w:rsidRDefault="00905A98" w:rsidP="00193D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5A98" w:rsidRPr="00DA3E88" w:rsidRDefault="00193D62" w:rsidP="00193D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НЕКОТОРЫХ ОСОБЕННОСТЯХ ЧИСЛЕННОГО </w:t>
      </w:r>
    </w:p>
    <w:p w:rsidR="00193D62" w:rsidRPr="00DA3E88" w:rsidRDefault="00193D62" w:rsidP="00193D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ИССЛЕДОВАНИЯ ОПЕРАЦИОННОЙ МОДЕЛИ В ЗАДАЧЕ </w:t>
      </w:r>
      <w:r w:rsidR="00905A98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ОРГАНИЗАЦИИ СТРОИТЕЛЬНЫХ ПРОЦЕССОВ</w:t>
      </w:r>
    </w:p>
    <w:p w:rsidR="00905A98" w:rsidRPr="00DA3E88" w:rsidRDefault="00905A98" w:rsidP="00193D6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3D62" w:rsidRPr="00DA3E88" w:rsidRDefault="003106AE" w:rsidP="00193D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С.В. Снарский</w:t>
      </w:r>
      <w:r w:rsidR="00193D6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="00193D6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Н.Ф. </w:t>
      </w:r>
      <w:r w:rsidR="00193D6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Грибанова</w:t>
      </w:r>
      <w:r w:rsidR="00193D6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193D6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3D6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93D62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1</w:t>
      </w:r>
      <w:r w:rsidR="00193D62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Саратовский государственный технический </w:t>
      </w:r>
      <w:r w:rsidR="00905A98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университет имени Гагарина Ю.А.</w:t>
      </w:r>
      <w:r w:rsidR="008828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Саратов, Россия</w:t>
      </w:r>
      <w:r w:rsidR="00193D62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="00193D62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 w:rsidR="00193D62" w:rsidRPr="00DA3E8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Саратовский медицинский университет Реавиз</w:t>
      </w:r>
      <w:r w:rsidR="0088285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, </w:t>
      </w:r>
      <w:r w:rsidR="0088285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Саратов, Россия</w:t>
      </w:r>
    </w:p>
    <w:p w:rsidR="00193D62" w:rsidRPr="00DA3E88" w:rsidRDefault="00193D62" w:rsidP="00193D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D62" w:rsidRPr="00DA3E88" w:rsidRDefault="003106AE" w:rsidP="00905A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Аннотация. </w:t>
      </w:r>
      <w:r w:rsidR="00193D62" w:rsidRPr="00DA3E88">
        <w:rPr>
          <w:rFonts w:ascii="Times New Roman" w:hAnsi="Times New Roman" w:cs="Times New Roman"/>
          <w:i/>
          <w:color w:val="000000" w:themeColor="text1"/>
          <w:szCs w:val="24"/>
        </w:rPr>
        <w:t>Исследование организации производства бетонных работ с применением теории обслуживания. Модель применяется для имитационного моделирования. Изучается устойчивость аппроксимирующие функции модели</w:t>
      </w:r>
      <w:r w:rsidRPr="00DA3E88">
        <w:rPr>
          <w:rFonts w:ascii="Times New Roman" w:hAnsi="Times New Roman" w:cs="Times New Roman"/>
          <w:i/>
          <w:color w:val="000000" w:themeColor="text1"/>
          <w:szCs w:val="24"/>
        </w:rPr>
        <w:t>.</w:t>
      </w:r>
    </w:p>
    <w:p w:rsidR="00905A98" w:rsidRPr="00DA3E88" w:rsidRDefault="00193D62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ON SOME FEATURES OF THE NUMERICAL</w:t>
      </w:r>
    </w:p>
    <w:p w:rsidR="00193D62" w:rsidRPr="00DA3E88" w:rsidRDefault="00193D62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STUDY OF OPERATIONAL MODEL OF THE PROBLEM </w:t>
      </w:r>
      <w:r w:rsidR="00905A98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 ORGANIZING CONSTRUCTION PROCESSES</w:t>
      </w:r>
    </w:p>
    <w:p w:rsidR="003106AE" w:rsidRPr="00DA3E88" w:rsidRDefault="003106AE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106AE" w:rsidRPr="00DA3E88" w:rsidRDefault="003106AE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S.V.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Snarsky</w:t>
      </w:r>
      <w:r w:rsidRPr="00DA3E88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1</w:t>
      </w:r>
      <w:r w:rsidRPr="00DA3E88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N.F.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Gribanova</w:t>
      </w:r>
      <w:r w:rsidRPr="00DA3E88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2</w:t>
      </w:r>
    </w:p>
    <w:p w:rsidR="00905A98" w:rsidRPr="00DA3E88" w:rsidRDefault="0088285A" w:rsidP="00905A98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88285A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val="en-US"/>
        </w:rPr>
        <w:t>1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Yuri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Saratov, Saratov,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Russia</w:t>
      </w:r>
      <w:r w:rsidR="003106AE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br/>
      </w:r>
      <w:r w:rsidR="003106AE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="003106AE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</w:t>
      </w:r>
      <w:r w:rsidR="003106AE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edical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U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niversity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3106AE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of </w:t>
      </w:r>
      <w:r w:rsidR="003106AE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Reaviz</w:t>
      </w:r>
      <w:r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Russia</w:t>
      </w:r>
    </w:p>
    <w:p w:rsidR="003106AE" w:rsidRPr="00DA3E88" w:rsidRDefault="003106AE" w:rsidP="00905A9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193D62" w:rsidRPr="00DA3E88" w:rsidRDefault="008F13FE" w:rsidP="001435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  <w:lang w:val="en-US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Abstract.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 xml:space="preserve"> </w:t>
      </w:r>
      <w:r w:rsidR="00193D62"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>Study of the organization of production of concrete works using the theory of maintenance. The model used for simulation. The stability of the approximating functions of the model is studied</w:t>
      </w:r>
    </w:p>
    <w:p w:rsidR="00193D62" w:rsidRPr="00DA3E88" w:rsidRDefault="00193D62" w:rsidP="001435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193D62" w:rsidRPr="00DA3E88" w:rsidRDefault="00193D62" w:rsidP="00143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изучения многозвенной системы обслуживания (разгрузка, промывка емкости, мойка колес) авторами была сконструирована имитационная модель [1], которая описывает движения технологического объекта (автобетоносмесителя) по этапам системы. В качестве изучаемого показателя принято значение задержки окончания дневного цикла по сравнению с расчетным значением. Операционные параметры являются случайными величинами, которые описаны как совокупность математического ожидания и дисперсии в рамках принятого нормального закона их распределения.</w:t>
      </w:r>
    </w:p>
    <w:p w:rsidR="00193D62" w:rsidRPr="00DA3E88" w:rsidRDefault="00193D62" w:rsidP="00143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работах [1,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3] оценивалась зависимость задержки окончания дневного цикла (оценки ее дисперсии и математического ожидания) от индивидуального изменения входных параметров.</w:t>
      </w:r>
    </w:p>
    <w:p w:rsidR="00193D62" w:rsidRPr="00DA3E88" w:rsidRDefault="00193D62" w:rsidP="00143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работе [2] в качестве изучаемого параметра принята экономическая составляющая – доля фонда оплаты труда, приходящаяся на процесс с учетом удорожания сверхурочных работ.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настоящей работе рассматривается возможность введения аппроксимирующих функций для приближенного описания процесса.</w:t>
      </w:r>
    </w:p>
    <w:p w:rsidR="00193D62" w:rsidRPr="00DA3E88" w:rsidRDefault="00193D62" w:rsidP="00143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исходных данных для изучения модели были использованы расчеты при различных значениях параметров законов нормального распределения случайных величин, описывающих процесс. А именно, варьировались величины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i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 характеризующие разброс соответствующего параметра.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величин математического ожидания принимались равными 30 минут для каждого параметра и не подлежали варьированию, поскольку, в силу характера задачи, не оказывают влияние на математическое ожидание удлинения рабочего дня по сравнению с ожидаемым. Остальные параметры соответствовали модельной задаче, описанной в [1].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Варьирование параметров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i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производилось таким образом, чтобы обеспечить проведение полного факторного эксперимента. Эксперимент производился в диапазоне значений</w:t>
      </w:r>
    </w:p>
    <w:p w:rsidR="00193D62" w:rsidRPr="00DA3E88" w:rsidRDefault="00143521" w:rsidP="00143521">
      <w:pPr>
        <w:pStyle w:val="19"/>
        <w:spacing w:before="120" w:after="120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</w:rPr>
        <w:t xml:space="preserve">1 &lt; </w:t>
      </w:r>
      <w:r w:rsidR="00193D62" w:rsidRPr="00DA3E88">
        <w:rPr>
          <w:i/>
          <w:color w:val="000000" w:themeColor="text1"/>
        </w:rPr>
        <w:t>σ</w:t>
      </w:r>
      <w:r w:rsidR="00193D62" w:rsidRPr="00DA3E88">
        <w:rPr>
          <w:i/>
          <w:color w:val="000000" w:themeColor="text1"/>
          <w:vertAlign w:val="subscript"/>
          <w:lang w:val="en-US"/>
        </w:rPr>
        <w:t>i</w:t>
      </w:r>
      <w:r w:rsidR="00193D62" w:rsidRPr="00DA3E88">
        <w:rPr>
          <w:color w:val="000000" w:themeColor="text1"/>
        </w:rPr>
        <w:t xml:space="preserve"> &lt; 20.</w:t>
      </w:r>
      <w:r w:rsidRPr="00DA3E88">
        <w:rPr>
          <w:color w:val="000000" w:themeColor="text1"/>
        </w:rPr>
        <w:tab/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Шаг внутри диапазона принимался из требования равномерности при покрытии диапазона, причем по логарифмической метрике. Шаг принят равным по всем направлениям, соответствующим отдельным параметрам. Таким образом, для количества точек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принимался мультипликативный шаг, равный </w:t>
      </w:r>
    </w:p>
    <w:p w:rsidR="00193D62" w:rsidRPr="00DA3E88" w:rsidRDefault="00143521" w:rsidP="00143521">
      <w:pPr>
        <w:pStyle w:val="19"/>
        <w:spacing w:before="120" w:after="120"/>
        <w:rPr>
          <w:i/>
          <w:color w:val="000000" w:themeColor="text1"/>
        </w:rPr>
      </w:pPr>
      <w:r w:rsidRPr="00DA3E88">
        <w:rPr>
          <w:i/>
          <w:color w:val="000000" w:themeColor="text1"/>
        </w:rPr>
        <w:tab/>
      </w:r>
      <w:r w:rsidR="00193D62" w:rsidRPr="00DA3E88">
        <w:rPr>
          <w:i/>
          <w:color w:val="000000" w:themeColor="text1"/>
          <w:lang w:val="en-US"/>
        </w:rPr>
        <w:t>h</w:t>
      </w:r>
      <w:r w:rsidR="00193D62" w:rsidRPr="00DA3E88">
        <w:rPr>
          <w:i/>
          <w:color w:val="000000" w:themeColor="text1"/>
        </w:rPr>
        <w:t xml:space="preserve"> = </w:t>
      </w:r>
      <w:r w:rsidR="00193D62" w:rsidRPr="00DA3E88">
        <w:rPr>
          <w:i/>
          <w:color w:val="000000" w:themeColor="text1"/>
          <w:lang w:val="en-US"/>
        </w:rPr>
        <w:t>e</w:t>
      </w:r>
      <w:r w:rsidR="00193D62" w:rsidRPr="00DA3E88">
        <w:rPr>
          <w:color w:val="000000" w:themeColor="text1"/>
          <w:vertAlign w:val="superscript"/>
        </w:rPr>
        <w:t>(</w:t>
      </w:r>
      <w:r w:rsidR="00193D62" w:rsidRPr="00DA3E88">
        <w:rPr>
          <w:i/>
          <w:color w:val="000000" w:themeColor="text1"/>
          <w:vertAlign w:val="superscript"/>
          <w:lang w:val="en-US"/>
        </w:rPr>
        <w:t>ln</w:t>
      </w:r>
      <w:r w:rsidR="00193D62" w:rsidRPr="00DA3E88">
        <w:rPr>
          <w:color w:val="000000" w:themeColor="text1"/>
          <w:vertAlign w:val="superscript"/>
        </w:rPr>
        <w:t>20)/(</w:t>
      </w:r>
      <w:r w:rsidR="00193D62" w:rsidRPr="00DA3E88">
        <w:rPr>
          <w:i/>
          <w:color w:val="000000" w:themeColor="text1"/>
          <w:vertAlign w:val="superscript"/>
          <w:lang w:val="en-US"/>
        </w:rPr>
        <w:t>k</w:t>
      </w:r>
      <w:r w:rsidR="00193D62" w:rsidRPr="00DA3E88">
        <w:rPr>
          <w:color w:val="000000" w:themeColor="text1"/>
          <w:vertAlign w:val="superscript"/>
        </w:rPr>
        <w:t>-1)</w:t>
      </w:r>
      <w:r w:rsidR="00193D62" w:rsidRPr="00DA3E88">
        <w:rPr>
          <w:color w:val="000000" w:themeColor="text1"/>
        </w:rPr>
        <w:t>.</w:t>
      </w:r>
      <w:r w:rsidRPr="00DA3E88">
        <w:rPr>
          <w:color w:val="000000" w:themeColor="text1"/>
        </w:rPr>
        <w:tab/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Рассматривались три случая: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81),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256),</w:t>
      </w:r>
      <w:r w:rsidRPr="00DA3E88">
        <w:rPr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 (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625), где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точек эксперимента.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Соответствующие наборы расчетных значений составляли: </w:t>
      </w:r>
    </w:p>
    <w:p w:rsidR="00193D62" w:rsidRPr="00DA3E88" w:rsidRDefault="00193D62" w:rsidP="003106A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3;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4.46;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i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 1, 4.46, 20;</w:t>
      </w:r>
    </w:p>
    <w:p w:rsidR="00193D62" w:rsidRPr="00DA3E88" w:rsidRDefault="00193D62" w:rsidP="003106A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4;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2.71;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i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 1, 2.71, 7.34, 20;</w:t>
      </w:r>
    </w:p>
    <w:p w:rsidR="00193D62" w:rsidRPr="00DA3E88" w:rsidRDefault="00193D62" w:rsidP="003106A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5;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2.11;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i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 1, 2.11, 4.46, 9.41, 20;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каждой экспериментальной точки производилось имитационное моделирование процесса с получение соответствующих оценок математического ожидания и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дисперсии для величины удлинения рабочего дня. Глубина имитации была принята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200 дней. Полученные результаты использовались для подбора аппроксимирующих функций.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общего вида аппроксимирующих функций был принят полином второй степени вида</w:t>
      </w:r>
    </w:p>
    <w:p w:rsidR="00193D62" w:rsidRPr="00DA3E88" w:rsidRDefault="00143521" w:rsidP="008F13FE">
      <w:pPr>
        <w:pStyle w:val="19"/>
        <w:spacing w:before="240" w:after="240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  <w:lang w:val="en-US"/>
        </w:rPr>
        <w:t>f</w:t>
      </w:r>
      <w:r w:rsidR="00193D62" w:rsidRPr="00DA3E88">
        <w:rPr>
          <w:color w:val="000000" w:themeColor="text1"/>
        </w:rPr>
        <w:t xml:space="preserve"> = ∑ (</w:t>
      </w:r>
      <w:r w:rsidR="00193D62" w:rsidRPr="00DA3E88">
        <w:rPr>
          <w:color w:val="000000" w:themeColor="text1"/>
          <w:lang w:val="en-US"/>
        </w:rPr>
        <w:t>a</w:t>
      </w:r>
      <w:r w:rsidR="00193D62" w:rsidRPr="00DA3E88">
        <w:rPr>
          <w:color w:val="000000" w:themeColor="text1"/>
          <w:vertAlign w:val="subscript"/>
          <w:lang w:val="en-US"/>
        </w:rPr>
        <w:t>i</w:t>
      </w:r>
      <w:r w:rsidR="00193D62" w:rsidRPr="00DA3E88">
        <w:rPr>
          <w:color w:val="000000" w:themeColor="text1"/>
          <w:lang w:val="en-US"/>
        </w:rPr>
        <w:t>x</w:t>
      </w:r>
      <w:r w:rsidR="00193D62" w:rsidRPr="00DA3E88">
        <w:rPr>
          <w:color w:val="000000" w:themeColor="text1"/>
          <w:vertAlign w:val="subscript"/>
          <w:lang w:val="en-US"/>
        </w:rPr>
        <w:t>i</w:t>
      </w:r>
      <w:r w:rsidR="00193D62" w:rsidRPr="00DA3E88">
        <w:rPr>
          <w:color w:val="000000" w:themeColor="text1"/>
          <w:vertAlign w:val="superscript"/>
        </w:rPr>
        <w:t>2</w:t>
      </w:r>
      <w:r w:rsidR="003106AE" w:rsidRPr="00DA3E88">
        <w:rPr>
          <w:i/>
          <w:color w:val="000000" w:themeColor="text1"/>
          <w:szCs w:val="24"/>
        </w:rPr>
        <w:t xml:space="preserve"> </w:t>
      </w:r>
      <w:r w:rsidR="00193D62" w:rsidRPr="00DA3E88">
        <w:rPr>
          <w:color w:val="000000" w:themeColor="text1"/>
        </w:rPr>
        <w:t>+</w:t>
      </w:r>
      <w:r w:rsidR="003106AE" w:rsidRPr="00DA3E88">
        <w:rPr>
          <w:color w:val="000000" w:themeColor="text1"/>
        </w:rPr>
        <w:t xml:space="preserve"> </w:t>
      </w:r>
      <w:r w:rsidR="00193D62" w:rsidRPr="00DA3E88">
        <w:rPr>
          <w:color w:val="000000" w:themeColor="text1"/>
          <w:lang w:val="en-US"/>
        </w:rPr>
        <w:t>b</w:t>
      </w:r>
      <w:r w:rsidR="00193D62" w:rsidRPr="00DA3E88">
        <w:rPr>
          <w:color w:val="000000" w:themeColor="text1"/>
          <w:vertAlign w:val="subscript"/>
          <w:lang w:val="en-US"/>
        </w:rPr>
        <w:t>i</w:t>
      </w:r>
      <w:r w:rsidR="00193D62" w:rsidRPr="00DA3E88">
        <w:rPr>
          <w:color w:val="000000" w:themeColor="text1"/>
          <w:lang w:val="en-US"/>
        </w:rPr>
        <w:t>x</w:t>
      </w:r>
      <w:r w:rsidR="00193D62" w:rsidRPr="00DA3E88">
        <w:rPr>
          <w:color w:val="000000" w:themeColor="text1"/>
          <w:vertAlign w:val="subscript"/>
          <w:lang w:val="en-US"/>
        </w:rPr>
        <w:t>i</w:t>
      </w:r>
      <w:r w:rsidR="00193D62" w:rsidRPr="00DA3E88">
        <w:rPr>
          <w:color w:val="000000" w:themeColor="text1"/>
        </w:rPr>
        <w:t xml:space="preserve"> +</w:t>
      </w:r>
      <w:r w:rsidR="003106AE" w:rsidRPr="00DA3E88">
        <w:rPr>
          <w:color w:val="000000" w:themeColor="text1"/>
        </w:rPr>
        <w:t xml:space="preserve"> </w:t>
      </w:r>
      <w:r w:rsidR="00193D62" w:rsidRPr="00DA3E88">
        <w:rPr>
          <w:color w:val="000000" w:themeColor="text1"/>
          <w:lang w:val="en-US"/>
        </w:rPr>
        <w:t>c</w:t>
      </w:r>
      <w:r w:rsidR="00193D62" w:rsidRPr="00DA3E88">
        <w:rPr>
          <w:color w:val="000000" w:themeColor="text1"/>
          <w:vertAlign w:val="subscript"/>
          <w:lang w:val="en-US"/>
        </w:rPr>
        <w:t>i</w:t>
      </w:r>
      <w:r w:rsidR="00193D62" w:rsidRPr="00DA3E88">
        <w:rPr>
          <w:color w:val="000000" w:themeColor="text1"/>
        </w:rPr>
        <w:t>),</w:t>
      </w:r>
      <w:r w:rsidRPr="00DA3E88">
        <w:rPr>
          <w:color w:val="000000" w:themeColor="text1"/>
        </w:rPr>
        <w:tab/>
      </w:r>
    </w:p>
    <w:p w:rsidR="00193D62" w:rsidRPr="00DA3E88" w:rsidRDefault="00193D62" w:rsidP="003106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где индекс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означает номер производственной операции, в ходе которой предполагается возможной задержка. Смешанные произведения параметров в состав аппроксимирующей функции не включались.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Подбор коэффициентов полинома производится из условия наилучшего приближения по выбранной метрике. В качестве метрики принимается нормированное среднеквадратичное отклонение по всем точкам</w:t>
      </w:r>
    </w:p>
    <w:p w:rsidR="00193D62" w:rsidRPr="00FC6E45" w:rsidRDefault="00143521" w:rsidP="008F13FE">
      <w:pPr>
        <w:pStyle w:val="19"/>
        <w:spacing w:before="240" w:after="240"/>
        <w:rPr>
          <w:color w:val="000000" w:themeColor="text1"/>
          <w:vertAlign w:val="subscript"/>
        </w:rPr>
      </w:pP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  <w:lang w:val="en-US"/>
        </w:rPr>
        <w:t>A</w:t>
      </w:r>
      <w:r w:rsidR="00193D62" w:rsidRPr="00FC6E45">
        <w:rPr>
          <w:color w:val="000000" w:themeColor="text1"/>
        </w:rPr>
        <w:t xml:space="preserve">=∑ [ 1- </w:t>
      </w:r>
      <w:r w:rsidR="00193D62" w:rsidRPr="00DA3E88">
        <w:rPr>
          <w:color w:val="000000" w:themeColor="text1"/>
          <w:lang w:val="en-US"/>
        </w:rPr>
        <w:t>f</w:t>
      </w:r>
      <w:r w:rsidR="00193D62" w:rsidRPr="00DA3E88">
        <w:rPr>
          <w:color w:val="000000" w:themeColor="text1"/>
          <w:vertAlign w:val="subscript"/>
          <w:lang w:val="en-US"/>
        </w:rPr>
        <w:t>j</w:t>
      </w:r>
      <w:r w:rsidR="00193D62" w:rsidRPr="00FC6E45">
        <w:rPr>
          <w:color w:val="000000" w:themeColor="text1"/>
          <w:vertAlign w:val="subscript"/>
        </w:rPr>
        <w:t xml:space="preserve"> </w:t>
      </w:r>
      <w:r w:rsidR="00193D62" w:rsidRPr="00FC6E45">
        <w:rPr>
          <w:color w:val="000000" w:themeColor="text1"/>
        </w:rPr>
        <w:t>(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1</w:t>
      </w:r>
      <w:r w:rsidR="00193D62" w:rsidRPr="00FC6E45">
        <w:rPr>
          <w:color w:val="000000" w:themeColor="text1"/>
        </w:rPr>
        <w:t xml:space="preserve">, 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2</w:t>
      </w:r>
      <w:r w:rsidR="00193D62" w:rsidRPr="00FC6E45">
        <w:rPr>
          <w:color w:val="000000" w:themeColor="text1"/>
        </w:rPr>
        <w:t xml:space="preserve">, 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3</w:t>
      </w:r>
      <w:r w:rsidR="00193D62" w:rsidRPr="00FC6E45">
        <w:rPr>
          <w:color w:val="000000" w:themeColor="text1"/>
        </w:rPr>
        <w:t xml:space="preserve">, 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4</w:t>
      </w:r>
      <w:r w:rsidR="00193D62" w:rsidRPr="00FC6E45">
        <w:rPr>
          <w:color w:val="000000" w:themeColor="text1"/>
        </w:rPr>
        <w:t xml:space="preserve"> ) / </w:t>
      </w:r>
      <w:r w:rsidR="00193D62" w:rsidRPr="00DA3E88">
        <w:rPr>
          <w:color w:val="000000" w:themeColor="text1"/>
          <w:lang w:val="en-US"/>
        </w:rPr>
        <w:t>g</w:t>
      </w:r>
      <w:r w:rsidR="00193D62" w:rsidRPr="00DA3E88">
        <w:rPr>
          <w:color w:val="000000" w:themeColor="text1"/>
          <w:vertAlign w:val="subscript"/>
          <w:lang w:val="en-US"/>
        </w:rPr>
        <w:t>j</w:t>
      </w:r>
      <w:r w:rsidR="00193D62" w:rsidRPr="00FC6E45">
        <w:rPr>
          <w:color w:val="000000" w:themeColor="text1"/>
          <w:vertAlign w:val="subscript"/>
        </w:rPr>
        <w:t xml:space="preserve"> </w:t>
      </w:r>
      <w:r w:rsidR="00193D62" w:rsidRPr="00FC6E45">
        <w:rPr>
          <w:color w:val="000000" w:themeColor="text1"/>
        </w:rPr>
        <w:t>(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1</w:t>
      </w:r>
      <w:r w:rsidR="00193D62" w:rsidRPr="00FC6E45">
        <w:rPr>
          <w:color w:val="000000" w:themeColor="text1"/>
        </w:rPr>
        <w:t xml:space="preserve">, 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2</w:t>
      </w:r>
      <w:r w:rsidR="00193D62" w:rsidRPr="00FC6E45">
        <w:rPr>
          <w:color w:val="000000" w:themeColor="text1"/>
        </w:rPr>
        <w:t xml:space="preserve">, 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3</w:t>
      </w:r>
      <w:r w:rsidR="00193D62" w:rsidRPr="00FC6E45">
        <w:rPr>
          <w:color w:val="000000" w:themeColor="text1"/>
        </w:rPr>
        <w:t xml:space="preserve">, </w:t>
      </w:r>
      <w:r w:rsidR="00193D62" w:rsidRPr="00DA3E88">
        <w:rPr>
          <w:color w:val="000000" w:themeColor="text1"/>
          <w:lang w:val="en-US"/>
        </w:rPr>
        <w:t>x</w:t>
      </w:r>
      <w:r w:rsidR="00193D62" w:rsidRPr="00FC6E45">
        <w:rPr>
          <w:color w:val="000000" w:themeColor="text1"/>
          <w:vertAlign w:val="subscript"/>
        </w:rPr>
        <w:t>4</w:t>
      </w:r>
      <w:r w:rsidR="00193D62" w:rsidRPr="00FC6E45">
        <w:rPr>
          <w:color w:val="000000" w:themeColor="text1"/>
        </w:rPr>
        <w:t xml:space="preserve"> )]</w:t>
      </w:r>
      <w:r w:rsidR="00193D62" w:rsidRPr="00FC6E45">
        <w:rPr>
          <w:color w:val="000000" w:themeColor="text1"/>
          <w:vertAlign w:val="superscript"/>
        </w:rPr>
        <w:t>2</w:t>
      </w:r>
      <w:r w:rsidR="00193D62" w:rsidRPr="00FC6E45">
        <w:rPr>
          <w:color w:val="000000" w:themeColor="text1"/>
        </w:rPr>
        <w:t xml:space="preserve">, </w:t>
      </w:r>
      <w:r w:rsidRPr="00FC6E45">
        <w:rPr>
          <w:color w:val="000000" w:themeColor="text1"/>
        </w:rPr>
        <w:tab/>
      </w:r>
    </w:p>
    <w:p w:rsidR="00193D62" w:rsidRPr="00DA3E88" w:rsidRDefault="00193D62" w:rsidP="003106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где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f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  <w:lang w:val="en-US"/>
        </w:rPr>
        <w:t>j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(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1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,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2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,</w:t>
      </w:r>
      <w:r w:rsidRPr="00DA3E88">
        <w:rPr>
          <w:color w:val="000000" w:themeColor="text1"/>
          <w:spacing w:val="4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3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,</w:t>
      </w:r>
      <w:r w:rsidRPr="00DA3E88">
        <w:rPr>
          <w:color w:val="000000" w:themeColor="text1"/>
          <w:spacing w:val="4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4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) – значение аппроксимирующей функции в некоторой точке с номером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j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, а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g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  <w:lang w:val="en-US"/>
        </w:rPr>
        <w:t>j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(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1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,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2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,</w:t>
      </w:r>
      <w:r w:rsidRPr="00DA3E88">
        <w:rPr>
          <w:color w:val="000000" w:themeColor="text1"/>
          <w:spacing w:val="4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3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,</w:t>
      </w:r>
      <w:r w:rsidRPr="00DA3E88">
        <w:rPr>
          <w:color w:val="000000" w:themeColor="text1"/>
          <w:spacing w:val="4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  <w:vertAlign w:val="subscript"/>
        </w:rPr>
        <w:t>4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) – соответствующее экспериментальное значение в этой же точке.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Нахождение коэффициентов производилось как решение соответствующей задачи безусловной оптимизации</w:t>
      </w:r>
    </w:p>
    <w:p w:rsidR="00193D62" w:rsidRPr="00DA3E88" w:rsidRDefault="00193D62" w:rsidP="00193D6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…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A3E88">
        <w:rPr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4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…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A3E88">
        <w:rPr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4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1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…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A3E88">
        <w:rPr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en-US"/>
        </w:rPr>
        <w:t>4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→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Min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решения задачи был применен метод общего понижающего градиента (ОПГ), выбор которого был обусловлен нелинейным характером задачи, а также доступностью инструментальных средств, реализующих указанный метод. Метод продемонстрировал удовлетворительную сходимость применительно к рассматриваемой задаче в рамках принятого диапазона значений.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решения задачи оптимизации были получены следующие значения: 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k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3: </w:t>
      </w:r>
    </w:p>
    <w:p w:rsidR="00193D62" w:rsidRPr="00DA3E88" w:rsidRDefault="00193D62" w:rsidP="0088285A">
      <w:pPr>
        <w:spacing w:before="240" w:after="24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=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002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41·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046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34·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+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035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53·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011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99·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35;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k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4: </w:t>
      </w:r>
    </w:p>
    <w:p w:rsidR="00193D62" w:rsidRPr="00DA3E88" w:rsidRDefault="00193D62" w:rsidP="0088285A">
      <w:pPr>
        <w:spacing w:before="240" w:after="24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lastRenderedPageBreak/>
        <w:t>f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013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12·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032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65·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+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026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77·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019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78·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44;</w:t>
      </w:r>
    </w:p>
    <w:p w:rsidR="00193D62" w:rsidRPr="00DA3E88" w:rsidRDefault="00193D62" w:rsidP="0031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k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5:</w:t>
      </w:r>
    </w:p>
    <w:p w:rsidR="00193D62" w:rsidRPr="00DA3E88" w:rsidRDefault="00193D62" w:rsidP="0088285A">
      <w:pPr>
        <w:spacing w:before="240" w:after="24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011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16·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+ 0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034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59·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+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034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61·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015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87·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48.</w:t>
      </w:r>
    </w:p>
    <w:p w:rsidR="00193D62" w:rsidRPr="00DA3E88" w:rsidRDefault="00193D62" w:rsidP="00960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Изучая полученные значения, можно отметить следующие обстоятельства.</w:t>
      </w:r>
    </w:p>
    <w:p w:rsidR="00193D62" w:rsidRPr="00DA3E88" w:rsidRDefault="00193D62" w:rsidP="00960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Во-первых, результаты для случаев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и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в целом ближе друг к другу, чем к случаю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Это говорит о возможном уточнении с ростом показателя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3D62" w:rsidRPr="00DA3E88" w:rsidRDefault="00193D62" w:rsidP="00960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Во-вторых, результаты для случая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расположены не слишком далеко от случаев с бóльшими значениями </w:t>
      </w:r>
      <w:r w:rsidRPr="00DA3E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 Это говорит о том, что фактическая нелинейность задачи не слишком высока.</w:t>
      </w:r>
    </w:p>
    <w:p w:rsidR="00193D62" w:rsidRPr="00DA3E88" w:rsidRDefault="00193D62" w:rsidP="00960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В-третьих, коэффициенты при старших степенях переменных почти на 2 порядка меньше, чем остальные. Это также указывает на малую нелинейности задачи, хорошо согласуясь с предыдущим выводом.</w:t>
      </w:r>
    </w:p>
    <w:p w:rsidR="00905A98" w:rsidRPr="00DA3E88" w:rsidRDefault="00905A98" w:rsidP="00905A9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905A98" w:rsidRPr="00DA3E88" w:rsidRDefault="00905A98" w:rsidP="00905A9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3D62" w:rsidRPr="00DA3E88" w:rsidRDefault="00193D62" w:rsidP="00905A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bookmarkStart w:id="0" w:name="_Ref477288240"/>
      <w:bookmarkStart w:id="1" w:name="_Ref477181235"/>
      <w:r w:rsidRPr="00DA3E8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1. Снарский С.В. Организация строительных процессов на основе операционного моделирования / С.В. Снарский, М.В. Федоров, Н.Ф. Грибанова // Ресурсоэнергоэффективные технологии в строительном комплексе региона. – 2017. – № 8. – С. 296-303. </w:t>
      </w:r>
    </w:p>
    <w:p w:rsidR="00193D62" w:rsidRPr="00DA3E88" w:rsidRDefault="003106AE" w:rsidP="00905A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 Грибанова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Н.Ф. Оптимизация проектного менеджмента в строительстве путем совершенствования организационно технологических решений на основе операционного моделирования / Н.Ф. Грибанова, С.В. Снарский, М.В. Федоров // Проектный менеджмент: проблемы и перспективы развития: Сборник научных трудов по материалам III Международной научно-практической конференции, Саратов, 07 декабря 2018 года.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 Саратов: О</w:t>
      </w:r>
      <w:r w:rsidR="0088285A">
        <w:rPr>
          <w:rFonts w:ascii="Times New Roman" w:hAnsi="Times New Roman" w:cs="Times New Roman"/>
          <w:color w:val="000000" w:themeColor="text1"/>
          <w:sz w:val="24"/>
          <w:szCs w:val="24"/>
        </w:rPr>
        <w:t>ОО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Амирит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2018. – С. 162-165. </w:t>
      </w:r>
    </w:p>
    <w:p w:rsidR="00193D62" w:rsidRPr="00DA3E88" w:rsidRDefault="00193D62" w:rsidP="00905A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3. Снарский С.В.</w:t>
      </w:r>
      <w:r w:rsidR="008828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85A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Грибанова Н.Ф.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операционного моделирования к задаче организа</w:t>
      </w:r>
      <w:r w:rsidR="00882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 строительных процессов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// Ресурсоэнергоэффективные технологии в строительном комплексе региона. – 2020. – № 1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(12). – С. 133-142..</w:t>
      </w:r>
    </w:p>
    <w:p w:rsidR="00193D62" w:rsidRPr="00DA3E88" w:rsidRDefault="00193D62" w:rsidP="00905A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Ref477181178"/>
      <w:bookmarkEnd w:id="0"/>
      <w:bookmarkEnd w:id="1"/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4. </w:t>
      </w:r>
      <w:bookmarkEnd w:id="2"/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Вагнер Г. Основы исследования операций: в 3 т. – Т. 3. М.:</w:t>
      </w:r>
      <w:r w:rsidR="003106AE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Мир, 1973.– 501 с.</w:t>
      </w:r>
    </w:p>
    <w:p w:rsidR="00193D62" w:rsidRPr="00DA3E88" w:rsidRDefault="00193D62" w:rsidP="00333948">
      <w:pPr>
        <w:tabs>
          <w:tab w:val="left" w:pos="1542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93D62" w:rsidRPr="00DA3E88" w:rsidRDefault="00193D62" w:rsidP="00333948">
      <w:pPr>
        <w:tabs>
          <w:tab w:val="left" w:pos="1542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3" w:name="_GoBack"/>
      <w:bookmarkEnd w:id="3"/>
    </w:p>
    <w:sectPr w:rsidR="00193D62" w:rsidRPr="00DA3E88" w:rsidSect="009853E3">
      <w:footerReference w:type="even" r:id="rId8"/>
      <w:footerReference w:type="default" r:id="rId9"/>
      <w:footerReference w:type="first" r:id="rId10"/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A7" w:rsidRDefault="00DF55A7">
      <w:pPr>
        <w:spacing w:after="0" w:line="240" w:lineRule="auto"/>
      </w:pPr>
      <w:r>
        <w:separator/>
      </w:r>
    </w:p>
  </w:endnote>
  <w:endnote w:type="continuationSeparator" w:id="0">
    <w:p w:rsidR="00DF55A7" w:rsidRDefault="00DF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D34C19">
          <w:rPr>
            <w:rFonts w:ascii="Times New Roman" w:hAnsi="Times New Roman"/>
            <w:noProof/>
          </w:rPr>
          <w:t>2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D34C19">
          <w:rPr>
            <w:rFonts w:ascii="Times New Roman" w:hAnsi="Times New Roman"/>
            <w:noProof/>
          </w:rPr>
          <w:t>1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C7409C" w:rsidRDefault="00C7409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7409C" w:rsidRDefault="00C7409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A7" w:rsidRDefault="00DF55A7">
      <w:pPr>
        <w:spacing w:after="0" w:line="240" w:lineRule="auto"/>
      </w:pPr>
      <w:r>
        <w:separator/>
      </w:r>
    </w:p>
  </w:footnote>
  <w:footnote w:type="continuationSeparator" w:id="0">
    <w:p w:rsidR="00DF55A7" w:rsidRDefault="00DF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16E3"/>
    <w:rsid w:val="00013EB1"/>
    <w:rsid w:val="000147FE"/>
    <w:rsid w:val="00026D9B"/>
    <w:rsid w:val="00031571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E057E"/>
    <w:rsid w:val="000E1793"/>
    <w:rsid w:val="000E1886"/>
    <w:rsid w:val="000E3BD0"/>
    <w:rsid w:val="000F41D1"/>
    <w:rsid w:val="000F5C52"/>
    <w:rsid w:val="00103418"/>
    <w:rsid w:val="00114128"/>
    <w:rsid w:val="00117CCF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08B9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76D2"/>
    <w:rsid w:val="001F3383"/>
    <w:rsid w:val="00202EFF"/>
    <w:rsid w:val="00206FE6"/>
    <w:rsid w:val="00210540"/>
    <w:rsid w:val="00210635"/>
    <w:rsid w:val="002219AF"/>
    <w:rsid w:val="002271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C0391"/>
    <w:rsid w:val="002C2ADF"/>
    <w:rsid w:val="002C4FB9"/>
    <w:rsid w:val="002C55DC"/>
    <w:rsid w:val="002D0C4F"/>
    <w:rsid w:val="002D397E"/>
    <w:rsid w:val="002D437C"/>
    <w:rsid w:val="002E2855"/>
    <w:rsid w:val="002F2337"/>
    <w:rsid w:val="003046FF"/>
    <w:rsid w:val="003106AE"/>
    <w:rsid w:val="00312420"/>
    <w:rsid w:val="003175A0"/>
    <w:rsid w:val="003203B8"/>
    <w:rsid w:val="00320D4C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27A05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458EC"/>
    <w:rsid w:val="00552A04"/>
    <w:rsid w:val="00556197"/>
    <w:rsid w:val="005603AA"/>
    <w:rsid w:val="00565663"/>
    <w:rsid w:val="00570126"/>
    <w:rsid w:val="005705DA"/>
    <w:rsid w:val="005722F0"/>
    <w:rsid w:val="00577B55"/>
    <w:rsid w:val="005934B5"/>
    <w:rsid w:val="00597F68"/>
    <w:rsid w:val="005A0264"/>
    <w:rsid w:val="005A21AA"/>
    <w:rsid w:val="005A5773"/>
    <w:rsid w:val="005A71A6"/>
    <w:rsid w:val="005C1AFB"/>
    <w:rsid w:val="005D2791"/>
    <w:rsid w:val="005D5537"/>
    <w:rsid w:val="005E615D"/>
    <w:rsid w:val="006038FC"/>
    <w:rsid w:val="00606124"/>
    <w:rsid w:val="006061D1"/>
    <w:rsid w:val="00614B62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B0B36"/>
    <w:rsid w:val="006B1A7E"/>
    <w:rsid w:val="006B4B1A"/>
    <w:rsid w:val="006C4560"/>
    <w:rsid w:val="006D056A"/>
    <w:rsid w:val="006D2866"/>
    <w:rsid w:val="006D622C"/>
    <w:rsid w:val="006D668C"/>
    <w:rsid w:val="006E4A4F"/>
    <w:rsid w:val="006F056B"/>
    <w:rsid w:val="006F239E"/>
    <w:rsid w:val="006F24C3"/>
    <w:rsid w:val="006F3C5C"/>
    <w:rsid w:val="00717484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5788"/>
    <w:rsid w:val="008733B4"/>
    <w:rsid w:val="00875631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4320"/>
    <w:rsid w:val="009853E3"/>
    <w:rsid w:val="0098747C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1B17"/>
    <w:rsid w:val="00A146B7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95CDE"/>
    <w:rsid w:val="00BA044F"/>
    <w:rsid w:val="00BA2797"/>
    <w:rsid w:val="00BA533A"/>
    <w:rsid w:val="00BB2F51"/>
    <w:rsid w:val="00BB375B"/>
    <w:rsid w:val="00BB4799"/>
    <w:rsid w:val="00BB4BA6"/>
    <w:rsid w:val="00BC1F0F"/>
    <w:rsid w:val="00BD106C"/>
    <w:rsid w:val="00BD6A42"/>
    <w:rsid w:val="00BE5753"/>
    <w:rsid w:val="00BE7949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6999"/>
    <w:rsid w:val="00CA0543"/>
    <w:rsid w:val="00CA137B"/>
    <w:rsid w:val="00CA2935"/>
    <w:rsid w:val="00CB14F0"/>
    <w:rsid w:val="00CC4E1B"/>
    <w:rsid w:val="00CD2773"/>
    <w:rsid w:val="00CD37C6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D05"/>
    <w:rsid w:val="00D22BFD"/>
    <w:rsid w:val="00D25812"/>
    <w:rsid w:val="00D3260C"/>
    <w:rsid w:val="00D34C19"/>
    <w:rsid w:val="00D441C2"/>
    <w:rsid w:val="00D4505C"/>
    <w:rsid w:val="00D55816"/>
    <w:rsid w:val="00D55A77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211"/>
    <w:rsid w:val="00DB0505"/>
    <w:rsid w:val="00DB3ADF"/>
    <w:rsid w:val="00DB49EB"/>
    <w:rsid w:val="00DC216B"/>
    <w:rsid w:val="00DC5242"/>
    <w:rsid w:val="00DD6020"/>
    <w:rsid w:val="00DE0790"/>
    <w:rsid w:val="00DE5AB4"/>
    <w:rsid w:val="00DE6161"/>
    <w:rsid w:val="00DE695B"/>
    <w:rsid w:val="00DF4C4D"/>
    <w:rsid w:val="00DF55A7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52E94"/>
    <w:rsid w:val="00F55EF3"/>
    <w:rsid w:val="00F56680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C6E45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B9351-CC2B-4B83-B5A6-37BFD1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472A-2CC6-4BAF-9611-D5BFD83D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155</cp:revision>
  <cp:lastPrinted>2025-04-16T10:23:00Z</cp:lastPrinted>
  <dcterms:created xsi:type="dcterms:W3CDTF">2025-03-14T11:10:00Z</dcterms:created>
  <dcterms:modified xsi:type="dcterms:W3CDTF">2026-01-18T11:01:00Z</dcterms:modified>
</cp:coreProperties>
</file>